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39" w:rsidRDefault="00597A16" w:rsidP="004E0D39">
      <w:pPr>
        <w:pStyle w:val="Title"/>
        <w:jc w:val="center"/>
      </w:pPr>
      <w:bookmarkStart w:id="0" w:name="_GoBack"/>
      <w:bookmarkEnd w:id="0"/>
      <w:r>
        <w:t>Assurance Narratives</w:t>
      </w:r>
    </w:p>
    <w:p w:rsidR="004E0D39" w:rsidRPr="004E0D39" w:rsidRDefault="00DE1B27" w:rsidP="004E0D39">
      <w:pPr>
        <w:jc w:val="center"/>
        <w:rPr>
          <w:rStyle w:val="Strong"/>
        </w:rPr>
      </w:pPr>
      <w:r>
        <w:rPr>
          <w:rStyle w:val="Strong"/>
        </w:rPr>
        <w:t>Revised - September</w:t>
      </w:r>
      <w:r w:rsidR="004E0D39" w:rsidRPr="004E0D39">
        <w:rPr>
          <w:rStyle w:val="Strong"/>
        </w:rPr>
        <w:t xml:space="preserve"> 2014</w:t>
      </w:r>
    </w:p>
    <w:p w:rsidR="004E0D39" w:rsidRDefault="004E0D39" w:rsidP="000F126B">
      <w:pPr>
        <w:pStyle w:val="Heading2"/>
        <w:ind w:left="1440" w:hanging="1440"/>
      </w:pPr>
      <w:r w:rsidRPr="00BE462A">
        <w:t>Criterion 1: The institution’s mission is clear and articulated publicly; it guides the institution’s operations.</w:t>
      </w:r>
    </w:p>
    <w:p w:rsidR="004E0D39" w:rsidRPr="00446646" w:rsidRDefault="00442009" w:rsidP="00705FC0">
      <w:pPr>
        <w:pStyle w:val="Heading4"/>
        <w:ind w:left="720" w:hanging="720"/>
      </w:pPr>
      <w:r>
        <w:t xml:space="preserve">1.A.:   </w:t>
      </w:r>
      <w:r w:rsidR="004E0D39" w:rsidRPr="00446646">
        <w:t xml:space="preserve">The institution’s mission is broadly understood within the institution </w:t>
      </w:r>
      <w:r w:rsidR="00705FC0">
        <w:t xml:space="preserve">and guides it </w:t>
      </w:r>
      <w:r w:rsidR="004E0D39" w:rsidRPr="00446646">
        <w:t>operations.</w:t>
      </w:r>
    </w:p>
    <w:p w:rsidR="004E0D39" w:rsidRPr="00705FC0" w:rsidRDefault="004E0D39" w:rsidP="00705FC0">
      <w:pPr>
        <w:pStyle w:val="Heading5"/>
        <w:ind w:left="720" w:hanging="720"/>
        <w:rPr>
          <w:sz w:val="22"/>
          <w:szCs w:val="22"/>
        </w:rPr>
      </w:pPr>
      <w:r w:rsidRPr="00705FC0">
        <w:rPr>
          <w:sz w:val="22"/>
          <w:szCs w:val="22"/>
        </w:rPr>
        <w:t xml:space="preserve">1.A.1.    The mission statement is developed through a process suited to the nature and culture of the institution and </w:t>
      </w:r>
      <w:r w:rsidR="00705FC0">
        <w:rPr>
          <w:sz w:val="22"/>
          <w:szCs w:val="22"/>
        </w:rPr>
        <w:t xml:space="preserve">         </w:t>
      </w:r>
      <w:r w:rsidRPr="00705FC0">
        <w:rPr>
          <w:sz w:val="22"/>
          <w:szCs w:val="22"/>
        </w:rPr>
        <w:t>adopted by the governing board.</w:t>
      </w:r>
    </w:p>
    <w:p w:rsidR="004E0D39" w:rsidRPr="00705FC0" w:rsidRDefault="004E0D39" w:rsidP="00705FC0">
      <w:pPr>
        <w:pStyle w:val="Heading5"/>
        <w:ind w:left="720" w:hanging="720"/>
        <w:rPr>
          <w:sz w:val="22"/>
          <w:szCs w:val="22"/>
        </w:rPr>
      </w:pPr>
      <w:r w:rsidRPr="00705FC0">
        <w:rPr>
          <w:sz w:val="22"/>
          <w:szCs w:val="22"/>
        </w:rPr>
        <w:t>1.A.2.     The institution’s academic programs, student support services, and enrollment profile are consistent with its stated mission.</w:t>
      </w:r>
    </w:p>
    <w:p w:rsidR="004E0D39" w:rsidRPr="00705FC0" w:rsidRDefault="004E0D39" w:rsidP="00705FC0">
      <w:pPr>
        <w:pStyle w:val="Heading5"/>
        <w:ind w:left="720" w:hanging="720"/>
        <w:rPr>
          <w:sz w:val="22"/>
          <w:szCs w:val="22"/>
        </w:rPr>
      </w:pPr>
      <w:r w:rsidRPr="00705FC0">
        <w:rPr>
          <w:sz w:val="22"/>
          <w:szCs w:val="22"/>
        </w:rPr>
        <w:t>1.A.3.     The institution’s planning and budgeting priorities align with and support the mission.</w:t>
      </w:r>
    </w:p>
    <w:p w:rsidR="00705FC0" w:rsidRPr="00705FC0" w:rsidRDefault="003A7424" w:rsidP="003A7424">
      <w:pPr>
        <w:pStyle w:val="Heading2"/>
      </w:pPr>
      <w:r>
        <w:t>Narrative</w:t>
      </w:r>
    </w:p>
    <w:p w:rsidR="00AD6D15" w:rsidRDefault="00EC3A8F" w:rsidP="005D5232">
      <w:r>
        <w:t>Since being chartered</w:t>
      </w:r>
      <w:r w:rsidR="00B358EC">
        <w:t xml:space="preserve"> by the Ohio General Assembly</w:t>
      </w:r>
      <w:r w:rsidR="00AD6D15" w:rsidRPr="00AD6D15">
        <w:t xml:space="preserve"> in 1809, M</w:t>
      </w:r>
      <w:r w:rsidR="00B358EC">
        <w:t>iami University has</w:t>
      </w:r>
      <w:r w:rsidR="00AD6D15" w:rsidRPr="00AD6D15">
        <w:t xml:space="preserve"> focused on </w:t>
      </w:r>
      <w:r w:rsidR="00884D64">
        <w:t xml:space="preserve">providing </w:t>
      </w:r>
      <w:r w:rsidR="006B48EF">
        <w:t>an exemplary liberal</w:t>
      </w:r>
      <w:r w:rsidR="00AD6D15">
        <w:t xml:space="preserve"> education</w:t>
      </w:r>
      <w:r w:rsidR="00884D64">
        <w:t xml:space="preserve"> made possible by</w:t>
      </w:r>
      <w:r w:rsidR="004A25E0">
        <w:t xml:space="preserve"> </w:t>
      </w:r>
      <w:r w:rsidR="00306D40">
        <w:t xml:space="preserve">an outstanding faculty with </w:t>
      </w:r>
      <w:r w:rsidR="004A25E0">
        <w:t>an abiding</w:t>
      </w:r>
      <w:r w:rsidR="00306D40">
        <w:t xml:space="preserve"> commitment to student success and </w:t>
      </w:r>
      <w:r w:rsidR="00041705">
        <w:t>engaged learning</w:t>
      </w:r>
      <w:r w:rsidR="00AD6D15" w:rsidRPr="00AD6D15">
        <w:t xml:space="preserve">, a </w:t>
      </w:r>
      <w:r w:rsidR="004A25E0">
        <w:t xml:space="preserve">stunning </w:t>
      </w:r>
      <w:r w:rsidR="00AD6D15" w:rsidRPr="00AD6D15">
        <w:t xml:space="preserve">residential </w:t>
      </w:r>
      <w:r w:rsidR="004A25E0">
        <w:t xml:space="preserve">environment, vibrant </w:t>
      </w:r>
      <w:r w:rsidR="00AD6D15" w:rsidRPr="00AD6D15">
        <w:t xml:space="preserve">campus community, </w:t>
      </w:r>
      <w:r w:rsidR="00B358EC">
        <w:t xml:space="preserve">and a </w:t>
      </w:r>
      <w:r w:rsidR="00AD6D15" w:rsidRPr="00AD6D15">
        <w:t>rich co-curricul</w:t>
      </w:r>
      <w:r w:rsidR="004A25E0">
        <w:t>ar life.</w:t>
      </w:r>
      <w:r w:rsidR="00EB4068">
        <w:t xml:space="preserve">  These important tenet</w:t>
      </w:r>
      <w:r w:rsidR="006B48EF">
        <w:t>s were reaffirmed and strengthened in 2008 when Miami revised its miss</w:t>
      </w:r>
      <w:r w:rsidR="007C39A5">
        <w:t>ion statement to read</w:t>
      </w:r>
      <w:r w:rsidR="006B48EF">
        <w:t>:</w:t>
      </w:r>
    </w:p>
    <w:p w:rsidR="00F91FF8" w:rsidRDefault="00F91FF8" w:rsidP="002C7118">
      <w:pPr>
        <w:pStyle w:val="Heading3"/>
        <w:shd w:val="clear" w:color="auto" w:fill="FFFFFF"/>
        <w:spacing w:before="300" w:after="75"/>
        <w:ind w:firstLine="720"/>
        <w:rPr>
          <w:rFonts w:ascii="Georgia" w:hAnsi="Georgia"/>
          <w:color w:val="B61E2E"/>
        </w:rPr>
      </w:pPr>
      <w:r>
        <w:rPr>
          <w:rFonts w:ascii="Georgia" w:hAnsi="Georgia"/>
          <w:i w:val="0"/>
          <w:iCs w:val="0"/>
          <w:color w:val="B61E2E"/>
        </w:rPr>
        <w:t>The Engaged University</w:t>
      </w:r>
    </w:p>
    <w:p w:rsidR="00F91FF8" w:rsidRDefault="00F91FF8" w:rsidP="00E22F5F">
      <w:pPr>
        <w:ind w:left="720"/>
      </w:pPr>
      <w:r>
        <w:t>Miami University, a student-centered public university founded in 1809, has built its success through an unwavering commitment to liberal arts undergraduate education and the active engagement of its students in both curricular and co-curricular life. It is deeply committed to student success, builds great student and alumni loyalty, and empowers its students, faculty, and staff to become engaged citizens who use their knowledge and skills with integrity and compassion to improve the future of our global society.</w:t>
      </w:r>
    </w:p>
    <w:p w:rsidR="00F91FF8" w:rsidRDefault="00F91FF8" w:rsidP="00E22F5F">
      <w:pPr>
        <w:ind w:left="720"/>
      </w:pPr>
      <w:r>
        <w:t>Miami provides the opportunities of a major university while offering the personalized attention found in the best small colleges. It values teaching and intense engagement of faculty with students through its teacher-scholar model, by inviting students into the excitement of research</w:t>
      </w:r>
      <w:r w:rsidR="00B37744">
        <w:t xml:space="preserve"> and discovery. Miami's faculty </w:t>
      </w:r>
      <w:r>
        <w:t>are nationally prominent scholars and artists who contribute to Miami, their own disciplines and to society by the creation of new knowledge and art. The University supports students in a highly involving residential experience on the Oxford campus and provides access to students, including those who are time and place bound, on its regional campuses. Miami provides a strong foundation in the traditional liberal arts for all students, and it offers nationally recognized majors in arts and sciences, business, education, engineering, and fine arts, as well as select graduate programs of excellence. As an inclusive community, Miami strives to cultivate an environment where diversity and difference are appreciated and respected.</w:t>
      </w:r>
    </w:p>
    <w:p w:rsidR="00F91FF8" w:rsidRDefault="00F91FF8" w:rsidP="00E22F5F">
      <w:pPr>
        <w:ind w:left="720"/>
      </w:pPr>
      <w:r>
        <w:t>Miami instills in its students intellectual depth and curiosity, the importance of personal values as a measure of character, and a commitment to life-long learning. Miami emphasizes critical thinking and independent thought, an appreciation of diverse views, and a sense of responsibility to our global future.</w:t>
      </w:r>
    </w:p>
    <w:p w:rsidR="006B48EF" w:rsidRDefault="00104DF4" w:rsidP="00E22F5F">
      <w:r>
        <w:t>The mission was d</w:t>
      </w:r>
      <w:r w:rsidR="002C7118">
        <w:t>rafted by a faculty committee after securing broad input from faculty, staff, studen</w:t>
      </w:r>
      <w:r w:rsidR="00306D40">
        <w:t>ts</w:t>
      </w:r>
      <w:r w:rsidR="00EB4068">
        <w:t>,</w:t>
      </w:r>
      <w:r>
        <w:t xml:space="preserve"> and the community; it</w:t>
      </w:r>
      <w:r w:rsidR="00306D40">
        <w:t xml:space="preserve"> was formally</w:t>
      </w:r>
      <w:r w:rsidR="002C7118">
        <w:t xml:space="preserve"> approved by the University Senate and the Board of Trustees.  </w:t>
      </w:r>
    </w:p>
    <w:p w:rsidR="00A340CC" w:rsidRDefault="00FD2F54" w:rsidP="00D61A8F">
      <w:r>
        <w:t>To advance our mi</w:t>
      </w:r>
      <w:r w:rsidR="000056DF">
        <w:t>ssion</w:t>
      </w:r>
      <w:r w:rsidR="00D85AC4">
        <w:t>, Miami is organized into si</w:t>
      </w:r>
      <w:r w:rsidR="00F7423B">
        <w:t>x vice-presidential divisions: academic affairs, s</w:t>
      </w:r>
      <w:r w:rsidR="00D85AC4">
        <w:t>tudent</w:t>
      </w:r>
      <w:r w:rsidR="00F7423B">
        <w:t xml:space="preserve"> affairs, i</w:t>
      </w:r>
      <w:r w:rsidR="005B43C1">
        <w:t xml:space="preserve">nformation </w:t>
      </w:r>
      <w:r w:rsidR="00F7423B">
        <w:t>t</w:t>
      </w:r>
      <w:r w:rsidR="005B43C1">
        <w:t>echnology</w:t>
      </w:r>
      <w:r w:rsidR="00F7423B">
        <w:t xml:space="preserve"> services, finance &amp; business services, university a</w:t>
      </w:r>
      <w:r w:rsidR="00D85AC4">
        <w:t>dvancement</w:t>
      </w:r>
      <w:r w:rsidR="001F7266">
        <w:t>,</w:t>
      </w:r>
      <w:r w:rsidR="00D85AC4">
        <w:t xml:space="preserve"> and </w:t>
      </w:r>
      <w:r w:rsidR="006B2DA2">
        <w:t xml:space="preserve">the recently created </w:t>
      </w:r>
      <w:r w:rsidR="00F7423B">
        <w:lastRenderedPageBreak/>
        <w:t xml:space="preserve">enrollment management &amp; student success.  Academic </w:t>
      </w:r>
      <w:r w:rsidR="00710F3F">
        <w:t>Affairs encompasse</w:t>
      </w:r>
      <w:r w:rsidR="006474E7">
        <w:t>s seven</w:t>
      </w:r>
      <w:r w:rsidR="00D85AC4">
        <w:t xml:space="preserve"> academic divis</w:t>
      </w:r>
      <w:r w:rsidR="001C1950">
        <w:t>ions: College of Arts &amp; Science; College of Creative Arts;</w:t>
      </w:r>
      <w:r w:rsidR="00D85AC4">
        <w:t xml:space="preserve"> College of </w:t>
      </w:r>
      <w:r w:rsidR="001C1950">
        <w:t xml:space="preserve">Education, Health, and Society; College of Engineering &amp; Computing; College of Professional Studies &amp; Applied Sciences; Farmer School of Business; and the Graduate School.  </w:t>
      </w:r>
      <w:r w:rsidR="00935DC5">
        <w:t xml:space="preserve">Each </w:t>
      </w:r>
      <w:r w:rsidR="00BD6864">
        <w:t xml:space="preserve">vice presidential and academic </w:t>
      </w:r>
      <w:r w:rsidR="00935DC5">
        <w:t>division</w:t>
      </w:r>
      <w:r w:rsidR="00785612">
        <w:t xml:space="preserve"> has a miss</w:t>
      </w:r>
      <w:r w:rsidR="00357850">
        <w:t>ion statement that is aligned</w:t>
      </w:r>
      <w:r w:rsidR="00785612">
        <w:t xml:space="preserve"> with t</w:t>
      </w:r>
      <w:r w:rsidR="00BD6864">
        <w:t>he u</w:t>
      </w:r>
      <w:r w:rsidR="00785612">
        <w:t xml:space="preserve">niversity mission.  </w:t>
      </w:r>
      <w:r w:rsidR="006B2DA2">
        <w:t>When departments undergo academic program review</w:t>
      </w:r>
      <w:r w:rsidR="005B43C1">
        <w:t xml:space="preserve"> every 5-7 years</w:t>
      </w:r>
      <w:r w:rsidR="006B2DA2">
        <w:t>, they are asked to</w:t>
      </w:r>
      <w:r w:rsidR="00337122">
        <w:t xml:space="preserve"> review </w:t>
      </w:r>
      <w:r w:rsidR="006B2DA2">
        <w:t>their departmental mission statement and its</w:t>
      </w:r>
      <w:r w:rsidR="00BD6864">
        <w:t xml:space="preserve"> relationship to the u</w:t>
      </w:r>
      <w:r w:rsidR="00337122">
        <w:t>niversity mission statement.</w:t>
      </w:r>
    </w:p>
    <w:p w:rsidR="00C63204" w:rsidRPr="00E755CF" w:rsidRDefault="006B2DA2" w:rsidP="00E755CF">
      <w:r w:rsidRPr="00E755CF">
        <w:t>Miami’s</w:t>
      </w:r>
      <w:r w:rsidR="00DA7A71">
        <w:t xml:space="preserve"> mission is</w:t>
      </w:r>
      <w:r w:rsidR="004E0D39" w:rsidRPr="00E755CF">
        <w:t xml:space="preserve"> consistent with </w:t>
      </w:r>
      <w:r w:rsidR="00DA2FDF" w:rsidRPr="00E755CF">
        <w:t xml:space="preserve">its </w:t>
      </w:r>
      <w:r w:rsidR="004E0D39" w:rsidRPr="00E755CF">
        <w:t xml:space="preserve">degree programs, support services, and </w:t>
      </w:r>
      <w:r w:rsidR="00DA2FDF" w:rsidRPr="00E755CF">
        <w:t xml:space="preserve">the </w:t>
      </w:r>
      <w:r w:rsidR="004E0D39" w:rsidRPr="00E755CF">
        <w:t xml:space="preserve">academic profile of </w:t>
      </w:r>
      <w:r w:rsidR="00DA2FDF" w:rsidRPr="00E755CF">
        <w:t xml:space="preserve">its </w:t>
      </w:r>
      <w:r w:rsidR="004E0D39" w:rsidRPr="00E755CF">
        <w:t>students. In fall 2013, Miami’s enrolled first-year students had an average ACT “Best” Score of 27.5 and an average high school GPA</w:t>
      </w:r>
      <w:r w:rsidR="002448C7" w:rsidRPr="00E755CF">
        <w:t xml:space="preserve"> of 3.72.  61% came from Ohio</w:t>
      </w:r>
      <w:r w:rsidR="00DA7A71">
        <w:t>.  39% of first-</w:t>
      </w:r>
      <w:r w:rsidR="00C63204" w:rsidRPr="00E755CF">
        <w:t xml:space="preserve">year students ranked in the top 10% of their high school graduating class. </w:t>
      </w:r>
    </w:p>
    <w:p w:rsidR="00654B4D" w:rsidRDefault="00275B5F" w:rsidP="00654B4D">
      <w:r>
        <w:t xml:space="preserve">In fall 2013, almost 24,000 students were enrolled at Miami with almost 90 percent being undergraduate students.  The percentage of </w:t>
      </w:r>
      <w:r w:rsidR="00BD6864">
        <w:t xml:space="preserve">the </w:t>
      </w:r>
      <w:r>
        <w:t>graduate student population has remained relatively constant since 2006 and is purposefully limited to ensure</w:t>
      </w:r>
      <w:r w:rsidR="00BD6864">
        <w:t xml:space="preserve"> that the primary focus of the u</w:t>
      </w:r>
      <w:r>
        <w:t>niversity is undergraduate education.</w:t>
      </w:r>
      <w:r w:rsidR="00C61EFB">
        <w:t xml:space="preserve">  </w:t>
      </w:r>
      <w:r w:rsidR="0055097C">
        <w:t>Miami offers 12</w:t>
      </w:r>
      <w:r w:rsidR="00634EF2">
        <w:t xml:space="preserve"> associate degree programs, 123</w:t>
      </w:r>
      <w:r w:rsidR="00314006">
        <w:t xml:space="preserve"> bachelor’s </w:t>
      </w:r>
      <w:r w:rsidR="00254DDD">
        <w:t xml:space="preserve">degree programs, </w:t>
      </w:r>
      <w:r w:rsidR="0075485A">
        <w:t>60</w:t>
      </w:r>
      <w:r w:rsidR="00254DDD">
        <w:t xml:space="preserve"> master</w:t>
      </w:r>
      <w:r w:rsidR="00BD6864">
        <w:t xml:space="preserve">s </w:t>
      </w:r>
      <w:r w:rsidR="0075485A">
        <w:t>and 14</w:t>
      </w:r>
      <w:r w:rsidR="00254DDD">
        <w:t xml:space="preserve"> doctoral </w:t>
      </w:r>
      <w:r w:rsidR="00BD6864">
        <w:t xml:space="preserve">degree </w:t>
      </w:r>
      <w:r w:rsidR="00314006">
        <w:t>pro</w:t>
      </w:r>
      <w:r w:rsidR="00723E7C">
        <w:t>g</w:t>
      </w:r>
      <w:r w:rsidR="00314006">
        <w:t xml:space="preserve">rams, with </w:t>
      </w:r>
      <w:r w:rsidR="0075485A">
        <w:t>65</w:t>
      </w:r>
      <w:r w:rsidR="00104DF4">
        <w:t xml:space="preserve">% of the </w:t>
      </w:r>
      <w:r w:rsidR="004E0D39" w:rsidRPr="00705FC0">
        <w:t xml:space="preserve">programs </w:t>
      </w:r>
      <w:r w:rsidR="00314006">
        <w:t xml:space="preserve">being </w:t>
      </w:r>
      <w:r w:rsidR="00817544">
        <w:t xml:space="preserve">baccalaureate.  </w:t>
      </w:r>
      <w:r w:rsidR="00654B4D" w:rsidRPr="00705FC0">
        <w:t xml:space="preserve">The College of Arts &amp; Science is the largest division, awarding the majority of degrees.  </w:t>
      </w:r>
    </w:p>
    <w:p w:rsidR="00594827" w:rsidRDefault="00817544" w:rsidP="00AA39E2">
      <w:r w:rsidRPr="00AA39E2">
        <w:t>T</w:t>
      </w:r>
      <w:r w:rsidR="002B1B1B" w:rsidRPr="00AA39E2">
        <w:t>he mission asserts t</w:t>
      </w:r>
      <w:r w:rsidR="00DA7A71">
        <w:t>hat Miami’s Oxford campus provides</w:t>
      </w:r>
      <w:r w:rsidR="002B1B1B" w:rsidRPr="00AA39E2">
        <w:t xml:space="preserve"> a “highly involving residential experience.” </w:t>
      </w:r>
      <w:r w:rsidR="00494898">
        <w:t xml:space="preserve">Students on the </w:t>
      </w:r>
      <w:r w:rsidR="002B1B1B" w:rsidRPr="00AA39E2">
        <w:t xml:space="preserve">Oxford </w:t>
      </w:r>
      <w:r w:rsidR="00494898">
        <w:t xml:space="preserve">campus </w:t>
      </w:r>
      <w:r w:rsidR="002B1B1B" w:rsidRPr="00AA39E2">
        <w:t>must meet</w:t>
      </w:r>
      <w:r w:rsidRPr="00AA39E2">
        <w:t xml:space="preserve"> a two</w:t>
      </w:r>
      <w:r w:rsidR="00494898">
        <w:t>-year residency requirement and</w:t>
      </w:r>
      <w:r w:rsidR="002B1B1B" w:rsidRPr="00AA39E2">
        <w:t xml:space="preserve"> live in one of</w:t>
      </w:r>
      <w:r w:rsidR="00007A53" w:rsidRPr="00AA39E2">
        <w:t xml:space="preserve"> 36 residence halls and</w:t>
      </w:r>
      <w:r w:rsidR="004E0D39" w:rsidRPr="00AA39E2">
        <w:t xml:space="preserve"> apartments</w:t>
      </w:r>
      <w:r w:rsidR="00F85E20" w:rsidRPr="00AA39E2">
        <w:t xml:space="preserve">. </w:t>
      </w:r>
      <w:r w:rsidR="00990442">
        <w:t>The residence halls are the site for</w:t>
      </w:r>
      <w:r w:rsidR="00070B04" w:rsidRPr="00AA39E2">
        <w:t xml:space="preserve"> 30</w:t>
      </w:r>
      <w:r w:rsidR="00820BFD">
        <w:t xml:space="preserve"> “living learning c</w:t>
      </w:r>
      <w:r w:rsidR="00863A9D" w:rsidRPr="00AA39E2">
        <w:t>ommunities</w:t>
      </w:r>
      <w:r w:rsidR="00820BFD">
        <w:t>”</w:t>
      </w:r>
      <w:r w:rsidR="00AA39E2" w:rsidRPr="00AA39E2">
        <w:t xml:space="preserve"> (LLC) for first-year students and six</w:t>
      </w:r>
      <w:r w:rsidR="00070B04" w:rsidRPr="00AA39E2">
        <w:t xml:space="preserve"> for upper-class students</w:t>
      </w:r>
      <w:r w:rsidR="00340906">
        <w:t>.  LLCs</w:t>
      </w:r>
      <w:r w:rsidR="00070B04" w:rsidRPr="00AA39E2">
        <w:t xml:space="preserve"> </w:t>
      </w:r>
      <w:r w:rsidR="00494898">
        <w:t>typically f</w:t>
      </w:r>
      <w:r w:rsidR="00340906">
        <w:t>ocus</w:t>
      </w:r>
      <w:r w:rsidR="00990442">
        <w:t xml:space="preserve"> on a broad theme,</w:t>
      </w:r>
      <w:r w:rsidR="00070B04" w:rsidRPr="00AA39E2">
        <w:t xml:space="preserve"> integrate curricular and co-curricular experiences</w:t>
      </w:r>
      <w:r w:rsidR="00990442">
        <w:t>,</w:t>
      </w:r>
      <w:r w:rsidR="00070B04" w:rsidRPr="00AA39E2">
        <w:t xml:space="preserve"> </w:t>
      </w:r>
      <w:r w:rsidR="00AA39E2" w:rsidRPr="00AA39E2">
        <w:t xml:space="preserve">and </w:t>
      </w:r>
      <w:r w:rsidR="00070B04" w:rsidRPr="00AA39E2">
        <w:t>foster faculty and resident interaction</w:t>
      </w:r>
      <w:r w:rsidR="00990442">
        <w:t xml:space="preserve"> through active programming</w:t>
      </w:r>
      <w:r w:rsidR="00070B04" w:rsidRPr="00AA39E2">
        <w:t xml:space="preserve"> that enhances both intellectual and personal growth of the residents</w:t>
      </w:r>
      <w:r w:rsidR="00863A9D" w:rsidRPr="00AA39E2">
        <w:t>.  U</w:t>
      </w:r>
      <w:r w:rsidR="00817874" w:rsidRPr="00AA39E2">
        <w:t>ndergraduate s</w:t>
      </w:r>
      <w:r w:rsidR="004E0D39" w:rsidRPr="00AA39E2">
        <w:t xml:space="preserve">tudents </w:t>
      </w:r>
      <w:r w:rsidR="00F85E20" w:rsidRPr="00AA39E2">
        <w:t>may</w:t>
      </w:r>
      <w:r w:rsidR="00AA39E2">
        <w:t xml:space="preserve"> also</w:t>
      </w:r>
      <w:r w:rsidR="00251AEB" w:rsidRPr="00AA39E2">
        <w:t xml:space="preserve"> </w:t>
      </w:r>
      <w:r w:rsidR="005B43C1">
        <w:t xml:space="preserve">choose to </w:t>
      </w:r>
      <w:r w:rsidR="00251AEB" w:rsidRPr="00AA39E2">
        <w:t>participate in one of over 4</w:t>
      </w:r>
      <w:r w:rsidR="00082AB9">
        <w:t>00 student organizations and leadership opportunities.</w:t>
      </w:r>
    </w:p>
    <w:p w:rsidR="00E755CF" w:rsidRPr="00AA39E2" w:rsidRDefault="00E755CF" w:rsidP="00AA39E2">
      <w:r>
        <w:t>Miami’s mission of student success is borne out in its</w:t>
      </w:r>
      <w:r w:rsidRPr="00E755CF">
        <w:t xml:space="preserve"> </w:t>
      </w:r>
      <w:r>
        <w:t xml:space="preserve">first-to-second-year </w:t>
      </w:r>
      <w:r w:rsidRPr="00E755CF">
        <w:t xml:space="preserve">retention rate </w:t>
      </w:r>
      <w:r>
        <w:t>of 89.6%</w:t>
      </w:r>
      <w:r w:rsidR="00820BFD">
        <w:t>,</w:t>
      </w:r>
      <w:r>
        <w:t xml:space="preserve"> which is </w:t>
      </w:r>
      <w:r w:rsidRPr="00E755CF">
        <w:t xml:space="preserve">among the </w:t>
      </w:r>
      <w:r>
        <w:t>best in the nation</w:t>
      </w:r>
      <w:r w:rsidRPr="00E755CF">
        <w:t>. Miami’s four-year graduation rate</w:t>
      </w:r>
      <w:r w:rsidR="005B43C1">
        <w:t xml:space="preserve"> of 68% ranks 10</w:t>
      </w:r>
      <w:r w:rsidRPr="00E755CF">
        <w:t>th among public colleges an</w:t>
      </w:r>
      <w:r w:rsidR="00990442">
        <w:t>d universities in the U.S. and fir</w:t>
      </w:r>
      <w:r w:rsidRPr="00E755CF">
        <w:t>st among</w:t>
      </w:r>
      <w:r>
        <w:t xml:space="preserve"> </w:t>
      </w:r>
      <w:r w:rsidRPr="00E755CF">
        <w:t>publics in Ohio.</w:t>
      </w:r>
    </w:p>
    <w:p w:rsidR="00594827" w:rsidRDefault="00594827" w:rsidP="00D61A8F">
      <w:r w:rsidRPr="00082AB9">
        <w:t xml:space="preserve">The mission statement </w:t>
      </w:r>
      <w:r w:rsidR="00254DDD">
        <w:t xml:space="preserve">also </w:t>
      </w:r>
      <w:r w:rsidRPr="00082AB9">
        <w:t xml:space="preserve">explicitly notes </w:t>
      </w:r>
      <w:r w:rsidR="00494898">
        <w:t>Miami’s commitment</w:t>
      </w:r>
      <w:r w:rsidR="00DB567D" w:rsidRPr="00082AB9">
        <w:t xml:space="preserve"> to providing </w:t>
      </w:r>
      <w:r w:rsidR="008B3ACD">
        <w:t xml:space="preserve">a </w:t>
      </w:r>
      <w:r w:rsidR="00DB567D" w:rsidRPr="00082AB9">
        <w:t xml:space="preserve">superb education to students who are time and place-bound. Toward that end, Miami </w:t>
      </w:r>
      <w:r w:rsidR="00082AB9" w:rsidRPr="00082AB9">
        <w:t>is proud of i</w:t>
      </w:r>
      <w:r w:rsidR="00603EF5">
        <w:t>ts two</w:t>
      </w:r>
      <w:r w:rsidR="00082AB9" w:rsidRPr="00082AB9">
        <w:t xml:space="preserve"> </w:t>
      </w:r>
      <w:r w:rsidR="00B37744" w:rsidRPr="00082AB9">
        <w:t>regional campuses</w:t>
      </w:r>
      <w:r w:rsidR="00082AB9" w:rsidRPr="00082AB9">
        <w:t xml:space="preserve"> </w:t>
      </w:r>
      <w:r w:rsidR="00494898">
        <w:t xml:space="preserve">located </w:t>
      </w:r>
      <w:r w:rsidR="00603EF5">
        <w:t xml:space="preserve">in Hamilton and </w:t>
      </w:r>
      <w:r w:rsidR="00082AB9">
        <w:t>Middletown</w:t>
      </w:r>
      <w:r w:rsidR="00F7296A">
        <w:t>,</w:t>
      </w:r>
      <w:r w:rsidR="00603EF5">
        <w:t xml:space="preserve"> with an educational site in</w:t>
      </w:r>
      <w:r w:rsidR="00082AB9">
        <w:t xml:space="preserve"> West Chester (</w:t>
      </w:r>
      <w:r w:rsidR="002B106E">
        <w:t xml:space="preserve">the </w:t>
      </w:r>
      <w:r w:rsidR="00082AB9">
        <w:t>Voice of America Learning Center).  In 20</w:t>
      </w:r>
      <w:r w:rsidR="00A61D4A">
        <w:t>10, the</w:t>
      </w:r>
      <w:r w:rsidR="00DA21A8">
        <w:t xml:space="preserve"> </w:t>
      </w:r>
      <w:r w:rsidR="002B106E">
        <w:t xml:space="preserve">regional </w:t>
      </w:r>
      <w:r w:rsidR="00DA21A8">
        <w:t>campuses were integrated</w:t>
      </w:r>
      <w:r w:rsidR="00A61D4A">
        <w:t xml:space="preserve"> into a si</w:t>
      </w:r>
      <w:r w:rsidR="00DA21A8">
        <w:t xml:space="preserve">ngle administered campus system under one dean.  </w:t>
      </w:r>
      <w:r w:rsidR="00F7296A">
        <w:t>Two years later</w:t>
      </w:r>
      <w:r w:rsidR="00DA21A8">
        <w:t xml:space="preserve">, the regional campuses became the site for a new academic division, the College of Professional Studies and Applied Sciences, </w:t>
      </w:r>
      <w:r w:rsidR="00775ABD">
        <w:t xml:space="preserve">which is focused on providing applied </w:t>
      </w:r>
      <w:r w:rsidR="0025473F">
        <w:t>and professionally-oriented degree programs to meet the needs of the southwest Ohio region</w:t>
      </w:r>
      <w:r w:rsidR="00775ABD">
        <w:t xml:space="preserve">, </w:t>
      </w:r>
      <w:r w:rsidR="00603EF5">
        <w:t xml:space="preserve">with </w:t>
      </w:r>
      <w:r w:rsidR="00775ABD">
        <w:t>flexible class schedules, a quality faculty</w:t>
      </w:r>
      <w:r w:rsidR="0025473F">
        <w:t>,</w:t>
      </w:r>
      <w:r w:rsidR="00775ABD">
        <w:t xml:space="preserve"> and small class sizes.</w:t>
      </w:r>
      <w:r w:rsidR="0025473F">
        <w:t xml:space="preserve">  </w:t>
      </w:r>
    </w:p>
    <w:p w:rsidR="00F85E20" w:rsidRDefault="00F85E20" w:rsidP="00D61A8F">
      <w:r>
        <w:t>One of the hallmarks of Miami University is its liberal education program, the Global Miami Plan, which is required for all undergraduate students</w:t>
      </w:r>
      <w:r w:rsidR="00817874">
        <w:t xml:space="preserve"> </w:t>
      </w:r>
      <w:r w:rsidR="000A5340">
        <w:t xml:space="preserve">on all campuses </w:t>
      </w:r>
      <w:r w:rsidR="00817874">
        <w:t xml:space="preserve">and has been newly revised to </w:t>
      </w:r>
      <w:r w:rsidR="00F4268F">
        <w:t xml:space="preserve">advance engaged learning and </w:t>
      </w:r>
      <w:r w:rsidR="00107308">
        <w:t>promote</w:t>
      </w:r>
      <w:r>
        <w:t xml:space="preserve"> 21</w:t>
      </w:r>
      <w:r w:rsidRPr="00F85E20">
        <w:rPr>
          <w:vertAlign w:val="superscript"/>
        </w:rPr>
        <w:t>st</w:t>
      </w:r>
      <w:r w:rsidR="004D0131">
        <w:t xml:space="preserve"> century outcomes that are based on the Association of American Colleges &amp; Universities</w:t>
      </w:r>
      <w:r w:rsidR="00820BFD">
        <w:t>’</w:t>
      </w:r>
      <w:r w:rsidR="002B106E">
        <w:t xml:space="preserve"> (AAC&amp;U)</w:t>
      </w:r>
      <w:r w:rsidR="004D0131">
        <w:t xml:space="preserve"> </w:t>
      </w:r>
      <w:r w:rsidR="00A11A2A">
        <w:t>“Liberal Education and America’s Promise” (</w:t>
      </w:r>
      <w:r w:rsidR="004D0131">
        <w:t>LEAP</w:t>
      </w:r>
      <w:r w:rsidR="00A11A2A">
        <w:t>)</w:t>
      </w:r>
      <w:r w:rsidR="004D0131">
        <w:t xml:space="preserve"> outcomes</w:t>
      </w:r>
      <w:r>
        <w:t>.</w:t>
      </w:r>
    </w:p>
    <w:p w:rsidR="000A5340" w:rsidRPr="00D850F7" w:rsidRDefault="00820BFD" w:rsidP="005118A0">
      <w:r>
        <w:t xml:space="preserve">As its </w:t>
      </w:r>
      <w:r w:rsidR="00AE28EC" w:rsidRPr="00A35F1B">
        <w:t>mission states, Miami is n</w:t>
      </w:r>
      <w:r w:rsidR="00A35F1B" w:rsidRPr="00A35F1B">
        <w:t xml:space="preserve">ationally recognized for the quality of its academic programs. </w:t>
      </w:r>
      <w:r w:rsidR="00723EB3" w:rsidRPr="00A35F1B">
        <w:t>For the fourt</w:t>
      </w:r>
      <w:r w:rsidR="002B106E">
        <w:t>h year in a row, Miami ranks first</w:t>
      </w:r>
      <w:r w:rsidR="00723EB3" w:rsidRPr="00A35F1B">
        <w:t xml:space="preserve"> among public universities </w:t>
      </w:r>
      <w:r w:rsidR="00A35F1B">
        <w:t xml:space="preserve">(and third among all private and public universities) </w:t>
      </w:r>
      <w:r w:rsidR="00723EB3" w:rsidRPr="00A35F1B">
        <w:t>with an exceptionally strong commitment to teaching in the 2014 </w:t>
      </w:r>
      <w:r w:rsidR="00723EB3" w:rsidRPr="00631D0B">
        <w:rPr>
          <w:i/>
        </w:rPr>
        <w:t>U.S.</w:t>
      </w:r>
      <w:r w:rsidR="00A35F1B" w:rsidRPr="00631D0B">
        <w:rPr>
          <w:i/>
        </w:rPr>
        <w:t xml:space="preserve"> </w:t>
      </w:r>
      <w:r w:rsidR="00723EB3" w:rsidRPr="00631D0B">
        <w:rPr>
          <w:i/>
        </w:rPr>
        <w:t>News &amp; World Report</w:t>
      </w:r>
      <w:r w:rsidR="00723EB3" w:rsidRPr="00A35F1B">
        <w:t> </w:t>
      </w:r>
      <w:r w:rsidR="00A35F1B">
        <w:t xml:space="preserve">rankings.  </w:t>
      </w:r>
      <w:r w:rsidR="00AB02BB">
        <w:t>In the 2014</w:t>
      </w:r>
      <w:r w:rsidR="008B7A33" w:rsidRPr="00A35F1B">
        <w:t xml:space="preserve"> edition of </w:t>
      </w:r>
      <w:r w:rsidR="008B7A33" w:rsidRPr="00631D0B">
        <w:rPr>
          <w:i/>
        </w:rPr>
        <w:t>America's Best Colleges</w:t>
      </w:r>
      <w:r w:rsidR="008B7A33" w:rsidRPr="00A35F1B">
        <w:t>, U.S. News</w:t>
      </w:r>
      <w:r w:rsidR="00D850F7">
        <w:t xml:space="preserve"> &amp; World Report</w:t>
      </w:r>
      <w:r w:rsidR="008B7A33" w:rsidRPr="00A35F1B">
        <w:t xml:space="preserve"> rank</w:t>
      </w:r>
      <w:r w:rsidR="00AB02BB">
        <w:t>s Miami's engineering program 30</w:t>
      </w:r>
      <w:r w:rsidR="008B7A33" w:rsidRPr="00A35F1B">
        <w:t>th in the nation in the category of "Best Undergraduate Engineering Programs where the highest d</w:t>
      </w:r>
      <w:r w:rsidR="000A5340">
        <w:t>egree is a bachelor's or master</w:t>
      </w:r>
      <w:r w:rsidR="008B7A33" w:rsidRPr="00A35F1B">
        <w:t>s."</w:t>
      </w:r>
      <w:r w:rsidR="00A35F1B" w:rsidRPr="00A35F1B">
        <w:t xml:space="preserve"> </w:t>
      </w:r>
      <w:r w:rsidR="008B7A33" w:rsidRPr="00A35F1B">
        <w:lastRenderedPageBreak/>
        <w:t>In the </w:t>
      </w:r>
      <w:r w:rsidR="008B7A33" w:rsidRPr="008D3764">
        <w:rPr>
          <w:i/>
        </w:rPr>
        <w:t>Fiske Guide to Colleges 2013</w:t>
      </w:r>
      <w:r w:rsidR="008B7A33" w:rsidRPr="00A35F1B">
        <w:t>, Miami’</w:t>
      </w:r>
      <w:r w:rsidR="00EE7BBD">
        <w:t>s architecture major is among twenty</w:t>
      </w:r>
      <w:r w:rsidR="008B7A33" w:rsidRPr="00A35F1B">
        <w:t xml:space="preserve"> such programs at public </w:t>
      </w:r>
      <w:r w:rsidR="008B7A33" w:rsidRPr="00D850F7">
        <w:t>universities cited for "unusual strength." In </w:t>
      </w:r>
      <w:r w:rsidR="009A46A0" w:rsidRPr="00D850F7">
        <w:t xml:space="preserve">the 2014 </w:t>
      </w:r>
      <w:r w:rsidR="008B7A33" w:rsidRPr="00D850F7">
        <w:rPr>
          <w:i/>
        </w:rPr>
        <w:t>BusinessWeek </w:t>
      </w:r>
      <w:r w:rsidR="008B7A33" w:rsidRPr="00D850F7">
        <w:t xml:space="preserve">magazine's ranking of undergraduate business programs, Miami's Farmer School of Business appears among the nation's top 5%, ranking </w:t>
      </w:r>
      <w:r w:rsidR="00723EB3" w:rsidRPr="00D850F7">
        <w:t>23rd overall, and 8th among undergraduate business programs at U.S. p</w:t>
      </w:r>
      <w:r w:rsidR="009A46A0" w:rsidRPr="00D850F7">
        <w:t>ublic universities</w:t>
      </w:r>
      <w:r w:rsidR="00723EB3" w:rsidRPr="00D850F7">
        <w:t>.</w:t>
      </w:r>
      <w:r w:rsidR="00A35F1B" w:rsidRPr="00D850F7">
        <w:t xml:space="preserve"> </w:t>
      </w:r>
      <w:r w:rsidR="00A128B0" w:rsidRPr="00D850F7">
        <w:t xml:space="preserve">From more than 2,000 schools surveyed by </w:t>
      </w:r>
      <w:r w:rsidR="00A128B0" w:rsidRPr="00D850F7">
        <w:rPr>
          <w:i/>
        </w:rPr>
        <w:t>The Princeton Review for Entrepreneur</w:t>
      </w:r>
      <w:r w:rsidR="008D3764" w:rsidRPr="00D850F7">
        <w:t>s</w:t>
      </w:r>
      <w:r w:rsidR="00A128B0" w:rsidRPr="00D850F7">
        <w:t xml:space="preserve"> magazine, the Farmer School’s social entrepreneurship program ranked first in the country for undergraduate programs.</w:t>
      </w:r>
      <w:r w:rsidR="00A35F1B" w:rsidRPr="00D850F7">
        <w:t xml:space="preserve"> </w:t>
      </w:r>
      <w:r w:rsidR="00A128B0" w:rsidRPr="00D850F7">
        <w:t>In November 201</w:t>
      </w:r>
      <w:r w:rsidR="000D4DD4" w:rsidRPr="00D850F7">
        <w:t>4</w:t>
      </w:r>
      <w:r w:rsidR="00A128B0" w:rsidRPr="00D850F7">
        <w:t>, </w:t>
      </w:r>
      <w:r w:rsidR="00C259B6" w:rsidRPr="00D850F7">
        <w:t xml:space="preserve">the </w:t>
      </w:r>
      <w:r w:rsidR="00A128B0" w:rsidRPr="00D850F7">
        <w:t>Public Accounting Report’s Annual Survey of Accounting Profes</w:t>
      </w:r>
      <w:r w:rsidR="008D3764" w:rsidRPr="00D850F7">
        <w:t xml:space="preserve">sors ranked the </w:t>
      </w:r>
      <w:r w:rsidR="00A128B0" w:rsidRPr="00D850F7">
        <w:t xml:space="preserve">undergraduate </w:t>
      </w:r>
      <w:r w:rsidR="000D4DD4" w:rsidRPr="00D850F7">
        <w:t>program in accountancy fourth in the nation</w:t>
      </w:r>
      <w:r w:rsidR="000A5340" w:rsidRPr="00D850F7">
        <w:t>.</w:t>
      </w:r>
    </w:p>
    <w:p w:rsidR="00D10EA6" w:rsidRPr="00D850F7" w:rsidRDefault="000A5340" w:rsidP="005118A0">
      <w:r w:rsidRPr="00D850F7">
        <w:t>To advance</w:t>
      </w:r>
      <w:r w:rsidR="00EC1BB5" w:rsidRPr="00D850F7">
        <w:t xml:space="preserve"> excell</w:t>
      </w:r>
      <w:r w:rsidRPr="00D850F7">
        <w:t>ence in undergraduate education</w:t>
      </w:r>
      <w:r w:rsidR="00EC1BB5" w:rsidRPr="00D850F7">
        <w:t>, the facu</w:t>
      </w:r>
      <w:r w:rsidR="00D10EA6" w:rsidRPr="00D850F7">
        <w:t>lty are deeply committed to the teacher-sc</w:t>
      </w:r>
      <w:r w:rsidR="00A66089" w:rsidRPr="00D850F7">
        <w:t>holar model and believe that Miami’s</w:t>
      </w:r>
      <w:r w:rsidR="00D10EA6" w:rsidRPr="00D850F7">
        <w:t xml:space="preserve"> capacity to produce </w:t>
      </w:r>
      <w:r w:rsidRPr="00D850F7">
        <w:t>“</w:t>
      </w:r>
      <w:r w:rsidR="00D10EA6" w:rsidRPr="00D850F7">
        <w:t xml:space="preserve">engaged citizens who use their knowledge and skills with integrity and compassion to improve the future of our global society” </w:t>
      </w:r>
      <w:r w:rsidRPr="00D850F7">
        <w:t>and to involve</w:t>
      </w:r>
      <w:r w:rsidR="002B4C5A" w:rsidRPr="00D850F7">
        <w:t xml:space="preserve"> students in the process of discovery </w:t>
      </w:r>
      <w:r w:rsidR="00D10EA6" w:rsidRPr="00D850F7">
        <w:t xml:space="preserve">is dependent upon the faculty member’s ability to </w:t>
      </w:r>
      <w:r w:rsidR="002B4C5A" w:rsidRPr="00D850F7">
        <w:t>pro</w:t>
      </w:r>
      <w:r w:rsidR="009D33EF" w:rsidRPr="00D850F7">
        <w:t xml:space="preserve">duce high quality scholarship.  The quality of faculty research and creative activity is a key consideration of Miami’s </w:t>
      </w:r>
      <w:r w:rsidR="00C61EFB" w:rsidRPr="00D850F7">
        <w:t xml:space="preserve">faculty </w:t>
      </w:r>
      <w:r w:rsidR="009D33EF" w:rsidRPr="00D850F7">
        <w:t>promotion</w:t>
      </w:r>
      <w:r w:rsidR="00C61EFB" w:rsidRPr="00D850F7">
        <w:t xml:space="preserve"> and tenure criteria</w:t>
      </w:r>
      <w:r w:rsidR="009D33EF" w:rsidRPr="00D850F7">
        <w:t xml:space="preserve">, and Miami faculty have received awards and grants from </w:t>
      </w:r>
      <w:r w:rsidR="00AE28EC" w:rsidRPr="00D850F7">
        <w:t xml:space="preserve">renowned professional and national organizations and foundations, including the National Science Foundation, </w:t>
      </w:r>
      <w:r w:rsidR="00EE7BBD" w:rsidRPr="00D850F7">
        <w:t xml:space="preserve">the </w:t>
      </w:r>
      <w:r w:rsidR="00AE28EC" w:rsidRPr="00D850F7">
        <w:t xml:space="preserve">National Endowment for the Humanities, the Social Science Research Council, and the </w:t>
      </w:r>
      <w:r w:rsidR="009A46A0" w:rsidRPr="00D850F7">
        <w:t>National Institutes of</w:t>
      </w:r>
      <w:r w:rsidR="00AE28EC" w:rsidRPr="00D850F7">
        <w:t xml:space="preserve"> Health.</w:t>
      </w:r>
    </w:p>
    <w:p w:rsidR="00F252E0" w:rsidRPr="00D850F7" w:rsidRDefault="0029691D" w:rsidP="00D61A8F">
      <w:r w:rsidRPr="00D850F7">
        <w:t xml:space="preserve">The mission </w:t>
      </w:r>
      <w:r w:rsidR="004E0D39" w:rsidRPr="00D850F7">
        <w:t>guides key budgetary and academic</w:t>
      </w:r>
      <w:r w:rsidRPr="00D850F7">
        <w:t xml:space="preserve"> </w:t>
      </w:r>
      <w:r w:rsidR="004E0D39" w:rsidRPr="00D850F7">
        <w:t>planning processes</w:t>
      </w:r>
      <w:r w:rsidRPr="00D850F7">
        <w:t>, including the Strategic Priorities Task Force</w:t>
      </w:r>
      <w:r w:rsidR="008C1F05" w:rsidRPr="00D850F7">
        <w:t xml:space="preserve"> (SPTF)</w:t>
      </w:r>
      <w:r w:rsidRPr="00D850F7">
        <w:t xml:space="preserve"> </w:t>
      </w:r>
      <w:r w:rsidR="0099461F" w:rsidRPr="00D850F7">
        <w:t xml:space="preserve">report </w:t>
      </w:r>
      <w:r w:rsidR="00C259B6" w:rsidRPr="00D850F7">
        <w:t xml:space="preserve">recommendations </w:t>
      </w:r>
      <w:r w:rsidR="00AD29EA" w:rsidRPr="00D850F7">
        <w:t>(</w:t>
      </w:r>
      <w:r w:rsidR="00C259B6" w:rsidRPr="00D850F7">
        <w:t>which informe</w:t>
      </w:r>
      <w:r w:rsidRPr="00D850F7">
        <w:t xml:space="preserve">d </w:t>
      </w:r>
      <w:r w:rsidR="0099461F" w:rsidRPr="00D850F7">
        <w:t xml:space="preserve">major </w:t>
      </w:r>
      <w:r w:rsidR="00F252E0" w:rsidRPr="00D850F7">
        <w:t>budgetary decisions from October 2010</w:t>
      </w:r>
      <w:r w:rsidRPr="00D850F7">
        <w:t xml:space="preserve"> to </w:t>
      </w:r>
      <w:r w:rsidR="00F252E0" w:rsidRPr="00D850F7">
        <w:t>June 2014</w:t>
      </w:r>
      <w:r w:rsidR="00AD29EA" w:rsidRPr="00D850F7">
        <w:t>) and t</w:t>
      </w:r>
      <w:r w:rsidRPr="00D850F7">
        <w:t xml:space="preserve">he recently developed Miami 2020 Plan </w:t>
      </w:r>
      <w:r w:rsidR="00AD29EA" w:rsidRPr="00D850F7">
        <w:t>(</w:t>
      </w:r>
      <w:r w:rsidR="00F252E0" w:rsidRPr="00D850F7">
        <w:t xml:space="preserve">which </w:t>
      </w:r>
      <w:r w:rsidR="00836B4C" w:rsidRPr="00D850F7">
        <w:t>was</w:t>
      </w:r>
      <w:r w:rsidR="006474E7" w:rsidRPr="00D850F7">
        <w:t xml:space="preserve"> created with input from several hundred</w:t>
      </w:r>
      <w:r w:rsidR="00836B4C" w:rsidRPr="00D850F7">
        <w:t xml:space="preserve"> faculty, staff</w:t>
      </w:r>
      <w:r w:rsidR="008C1F05" w:rsidRPr="00D850F7">
        <w:t>,</w:t>
      </w:r>
      <w:r w:rsidR="00836B4C" w:rsidRPr="00D850F7">
        <w:t xml:space="preserve"> and students and </w:t>
      </w:r>
      <w:r w:rsidR="00E22F5F" w:rsidRPr="00D850F7">
        <w:t>provide</w:t>
      </w:r>
      <w:r w:rsidR="00F252E0" w:rsidRPr="00D850F7">
        <w:t>s</w:t>
      </w:r>
      <w:r w:rsidR="00E22F5F" w:rsidRPr="00D850F7">
        <w:t xml:space="preserve"> the blueprint for excellence for the next five years</w:t>
      </w:r>
      <w:r w:rsidR="00AD29EA" w:rsidRPr="00D850F7">
        <w:t>)</w:t>
      </w:r>
      <w:r w:rsidR="00E22F5F" w:rsidRPr="00D850F7">
        <w:t xml:space="preserve">.  </w:t>
      </w:r>
      <w:r w:rsidR="00836B4C" w:rsidRPr="00D850F7">
        <w:t>T</w:t>
      </w:r>
      <w:r w:rsidR="00774084" w:rsidRPr="00D850F7">
        <w:t>he unifying goal of the Miami 2020 Plan is to “promote a vibrant learning and discovery envir</w:t>
      </w:r>
      <w:r w:rsidR="00603EF5" w:rsidRPr="00D850F7">
        <w:t>onment that produces</w:t>
      </w:r>
      <w:r w:rsidR="00774084" w:rsidRPr="00D850F7">
        <w:t xml:space="preserve"> extraordinary student and scholarly outcomes,” and it is supported by three foundational goals which underscore key tenets of our mission</w:t>
      </w:r>
      <w:r w:rsidR="00944F8F" w:rsidRPr="00D850F7">
        <w:t>: a competent and caring faculty and staff, a diverse culture of inclusion, and mutually beneficial partnerships.</w:t>
      </w:r>
    </w:p>
    <w:p w:rsidR="00E22F5F" w:rsidRPr="00D850F7" w:rsidRDefault="0099461F" w:rsidP="00D61A8F">
      <w:r w:rsidRPr="00D850F7">
        <w:t>In 2013-2014, the institution adopted a new responsibil</w:t>
      </w:r>
      <w:r w:rsidR="00312E9B" w:rsidRPr="00D850F7">
        <w:t>ity centered management (RCM) approach to budgeting.  The main premise behind RCM is that academic deans, who best understand the academic mission</w:t>
      </w:r>
      <w:r w:rsidR="002417DA" w:rsidRPr="00D850F7">
        <w:t xml:space="preserve"> of Miami</w:t>
      </w:r>
      <w:r w:rsidR="00312E9B" w:rsidRPr="00D850F7">
        <w:t>, should be given greater budgetary authority and respon</w:t>
      </w:r>
      <w:r w:rsidR="002417DA" w:rsidRPr="00D850F7">
        <w:t xml:space="preserve">sibility over their faculty, </w:t>
      </w:r>
      <w:r w:rsidR="00312E9B" w:rsidRPr="00D850F7">
        <w:t>students</w:t>
      </w:r>
      <w:r w:rsidR="002417DA" w:rsidRPr="00D850F7">
        <w:t>, curricula</w:t>
      </w:r>
      <w:r w:rsidR="008A23E2" w:rsidRPr="00D850F7">
        <w:t>,</w:t>
      </w:r>
      <w:r w:rsidR="002417DA" w:rsidRPr="00D850F7">
        <w:t xml:space="preserve"> and operations</w:t>
      </w:r>
      <w:r w:rsidR="00312E9B" w:rsidRPr="00D850F7">
        <w:t xml:space="preserve">.  RCM is designed to encourage deans to develop programs that </w:t>
      </w:r>
      <w:r w:rsidR="00594827" w:rsidRPr="00D850F7">
        <w:t xml:space="preserve">are aligned with the academic mission, </w:t>
      </w:r>
      <w:r w:rsidR="00312E9B" w:rsidRPr="00D850F7">
        <w:t>attract high quality faculty and st</w:t>
      </w:r>
      <w:r w:rsidR="00EC3A8F" w:rsidRPr="00D850F7">
        <w:t>udents,</w:t>
      </w:r>
      <w:r w:rsidR="00594827" w:rsidRPr="00D850F7">
        <w:t xml:space="preserve"> and</w:t>
      </w:r>
      <w:r w:rsidR="00312E9B" w:rsidRPr="00D850F7">
        <w:t xml:space="preserve"> reduce unnecessary costs.</w:t>
      </w:r>
    </w:p>
    <w:p w:rsidR="00594827" w:rsidRPr="00D850F7" w:rsidRDefault="009A46A0" w:rsidP="00D61A8F">
      <w:r w:rsidRPr="00D850F7">
        <w:t xml:space="preserve">As Miami moves further into its third centennial, </w:t>
      </w:r>
      <w:r w:rsidR="008A23E2" w:rsidRPr="00D850F7">
        <w:t>challenging question</w:t>
      </w:r>
      <w:r w:rsidR="009F58E8" w:rsidRPr="00D850F7">
        <w:t>s</w:t>
      </w:r>
      <w:r w:rsidR="008A23E2" w:rsidRPr="00D850F7">
        <w:t xml:space="preserve"> related</w:t>
      </w:r>
      <w:r w:rsidR="009F58E8" w:rsidRPr="00D850F7">
        <w:t xml:space="preserve"> to our historic liberal education mission are emerging, including:</w:t>
      </w:r>
    </w:p>
    <w:p w:rsidR="009F58E8" w:rsidRPr="00D850F7" w:rsidRDefault="009F58E8" w:rsidP="000945E2">
      <w:pPr>
        <w:pStyle w:val="ListParagraph"/>
        <w:numPr>
          <w:ilvl w:val="0"/>
          <w:numId w:val="16"/>
        </w:numPr>
      </w:pPr>
      <w:r w:rsidRPr="00D850F7">
        <w:t xml:space="preserve">How </w:t>
      </w:r>
      <w:r w:rsidR="009414C7" w:rsidRPr="00D850F7">
        <w:t>do we continue our longstan</w:t>
      </w:r>
      <w:r w:rsidR="000A7E26" w:rsidRPr="00D850F7">
        <w:t xml:space="preserve">ding commitment to a </w:t>
      </w:r>
      <w:r w:rsidR="009414C7" w:rsidRPr="00D850F7">
        <w:t xml:space="preserve">residentially-based </w:t>
      </w:r>
      <w:r w:rsidR="000A7E26" w:rsidRPr="00D850F7">
        <w:t xml:space="preserve">liberal arts </w:t>
      </w:r>
      <w:r w:rsidR="009414C7" w:rsidRPr="00D850F7">
        <w:t>education as the world becomes</w:t>
      </w:r>
      <w:r w:rsidR="00CC5A41" w:rsidRPr="00D850F7">
        <w:t xml:space="preserve"> increasingly</w:t>
      </w:r>
      <w:r w:rsidR="009414C7" w:rsidRPr="00D850F7">
        <w:t xml:space="preserve"> globalized and technology-driven?</w:t>
      </w:r>
    </w:p>
    <w:p w:rsidR="009414C7" w:rsidRPr="00D850F7" w:rsidRDefault="00CC5A41" w:rsidP="000945E2">
      <w:pPr>
        <w:pStyle w:val="ListParagraph"/>
        <w:numPr>
          <w:ilvl w:val="0"/>
          <w:numId w:val="16"/>
        </w:numPr>
      </w:pPr>
      <w:r w:rsidRPr="00D850F7">
        <w:t>How might</w:t>
      </w:r>
      <w:r w:rsidR="009414C7" w:rsidRPr="00D850F7">
        <w:t xml:space="preserve"> the </w:t>
      </w:r>
      <w:r w:rsidRPr="00D850F7">
        <w:t xml:space="preserve">new College for Professional Studies and Applied Sciences with its increasing number of </w:t>
      </w:r>
      <w:r w:rsidR="0097094C" w:rsidRPr="00D850F7">
        <w:t xml:space="preserve">applied and professional </w:t>
      </w:r>
      <w:r w:rsidRPr="00D850F7">
        <w:t>degree programs and enrollments</w:t>
      </w:r>
      <w:r w:rsidR="0097094C" w:rsidRPr="00D850F7">
        <w:t xml:space="preserve"> of nontraditional students </w:t>
      </w:r>
      <w:r w:rsidRPr="00D850F7">
        <w:t xml:space="preserve">be integrated </w:t>
      </w:r>
      <w:r w:rsidR="0097094C" w:rsidRPr="00D850F7">
        <w:t xml:space="preserve">seamlessly </w:t>
      </w:r>
      <w:r w:rsidRPr="00D850F7">
        <w:t>into the mission of Miami University?</w:t>
      </w:r>
    </w:p>
    <w:p w:rsidR="0097094C" w:rsidRPr="00D850F7" w:rsidRDefault="0097094C" w:rsidP="000945E2">
      <w:pPr>
        <w:pStyle w:val="ListParagraph"/>
        <w:numPr>
          <w:ilvl w:val="0"/>
          <w:numId w:val="16"/>
        </w:numPr>
      </w:pPr>
      <w:r w:rsidRPr="00D850F7">
        <w:t xml:space="preserve">Given that budgets continue to remain constrained and faculty workloads </w:t>
      </w:r>
      <w:r w:rsidR="00F769D7" w:rsidRPr="00D850F7">
        <w:t>are increasing, how do we maintain a faculty consisting</w:t>
      </w:r>
      <w:r w:rsidRPr="00D850F7">
        <w:t xml:space="preserve"> of high quality teacher-scholars?</w:t>
      </w:r>
    </w:p>
    <w:p w:rsidR="004E0D39" w:rsidRPr="00D850F7" w:rsidRDefault="004E0D39" w:rsidP="000F6A8D">
      <w:pPr>
        <w:pStyle w:val="Heading2"/>
        <w:spacing w:before="120"/>
      </w:pPr>
      <w:r w:rsidRPr="00D850F7">
        <w:t>Sources</w:t>
      </w:r>
    </w:p>
    <w:p w:rsidR="004E0D39" w:rsidRPr="00D850F7" w:rsidRDefault="004B305B" w:rsidP="00257C1D">
      <w:pPr>
        <w:pStyle w:val="NoSpacing"/>
        <w:numPr>
          <w:ilvl w:val="0"/>
          <w:numId w:val="1"/>
        </w:numPr>
        <w:ind w:left="252" w:hanging="270"/>
        <w:rPr>
          <w:sz w:val="20"/>
          <w:szCs w:val="20"/>
        </w:rPr>
      </w:pPr>
      <w:r w:rsidRPr="00D850F7">
        <w:rPr>
          <w:sz w:val="20"/>
          <w:szCs w:val="20"/>
        </w:rPr>
        <w:t>University m</w:t>
      </w:r>
      <w:r w:rsidR="004E0D39" w:rsidRPr="00D850F7">
        <w:rPr>
          <w:sz w:val="20"/>
          <w:szCs w:val="20"/>
        </w:rPr>
        <w:t>ission statement [http://www.miami.muohio.edu/about-miami/office-of-the-president/mission-and-goals.html]</w:t>
      </w:r>
    </w:p>
    <w:p w:rsidR="00357850" w:rsidRPr="00D850F7" w:rsidRDefault="00357850" w:rsidP="00257C1D">
      <w:pPr>
        <w:pStyle w:val="NoSpacing"/>
        <w:numPr>
          <w:ilvl w:val="0"/>
          <w:numId w:val="1"/>
        </w:numPr>
        <w:ind w:left="252" w:hanging="270"/>
        <w:rPr>
          <w:sz w:val="20"/>
          <w:szCs w:val="20"/>
        </w:rPr>
      </w:pPr>
      <w:r w:rsidRPr="00D850F7">
        <w:rPr>
          <w:sz w:val="20"/>
          <w:szCs w:val="20"/>
        </w:rPr>
        <w:t>Mission statements of each VP and academic division (all in one document)</w:t>
      </w:r>
    </w:p>
    <w:p w:rsidR="004E0D39" w:rsidRPr="00D850F7" w:rsidRDefault="004E0D39" w:rsidP="00257C1D">
      <w:pPr>
        <w:pStyle w:val="NoSpacing"/>
        <w:numPr>
          <w:ilvl w:val="0"/>
          <w:numId w:val="1"/>
        </w:numPr>
        <w:ind w:left="252" w:hanging="270"/>
        <w:rPr>
          <w:sz w:val="20"/>
          <w:szCs w:val="20"/>
        </w:rPr>
      </w:pPr>
      <w:r w:rsidRPr="00D850F7">
        <w:rPr>
          <w:sz w:val="20"/>
          <w:szCs w:val="20"/>
        </w:rPr>
        <w:t xml:space="preserve">Mission Committee Final Report </w:t>
      </w:r>
    </w:p>
    <w:p w:rsidR="00513C1C" w:rsidRPr="00D850F7" w:rsidRDefault="00513C1C" w:rsidP="00513C1C">
      <w:pPr>
        <w:pStyle w:val="NoSpacing"/>
        <w:numPr>
          <w:ilvl w:val="0"/>
          <w:numId w:val="1"/>
        </w:numPr>
        <w:ind w:left="252" w:hanging="270"/>
        <w:rPr>
          <w:sz w:val="20"/>
          <w:szCs w:val="20"/>
        </w:rPr>
      </w:pPr>
      <w:r w:rsidRPr="00D850F7">
        <w:rPr>
          <w:sz w:val="20"/>
          <w:szCs w:val="20"/>
        </w:rPr>
        <w:t>First in 2009 goals</w:t>
      </w:r>
    </w:p>
    <w:p w:rsidR="00513C1C" w:rsidRPr="00D850F7" w:rsidRDefault="00513C1C" w:rsidP="00513C1C">
      <w:pPr>
        <w:pStyle w:val="NoSpacing"/>
        <w:numPr>
          <w:ilvl w:val="0"/>
          <w:numId w:val="1"/>
        </w:numPr>
        <w:ind w:left="252" w:hanging="270"/>
        <w:rPr>
          <w:sz w:val="20"/>
          <w:szCs w:val="20"/>
        </w:rPr>
      </w:pPr>
      <w:r w:rsidRPr="00D850F7">
        <w:rPr>
          <w:sz w:val="20"/>
          <w:szCs w:val="20"/>
        </w:rPr>
        <w:t>Strategic Priorities Task Force Report</w:t>
      </w:r>
    </w:p>
    <w:p w:rsidR="004E0D39" w:rsidRPr="00D850F7" w:rsidRDefault="004E0D39" w:rsidP="00257C1D">
      <w:pPr>
        <w:pStyle w:val="NoSpacing"/>
        <w:numPr>
          <w:ilvl w:val="0"/>
          <w:numId w:val="1"/>
        </w:numPr>
        <w:ind w:left="252" w:hanging="270"/>
        <w:rPr>
          <w:sz w:val="20"/>
          <w:szCs w:val="20"/>
        </w:rPr>
      </w:pPr>
      <w:r w:rsidRPr="00D850F7">
        <w:rPr>
          <w:sz w:val="20"/>
          <w:szCs w:val="20"/>
        </w:rPr>
        <w:lastRenderedPageBreak/>
        <w:t>Miami 2020 Plan</w:t>
      </w:r>
    </w:p>
    <w:p w:rsidR="00C61EFB" w:rsidRPr="00D850F7" w:rsidRDefault="00C61EFB" w:rsidP="00257C1D">
      <w:pPr>
        <w:pStyle w:val="NoSpacing"/>
        <w:numPr>
          <w:ilvl w:val="0"/>
          <w:numId w:val="1"/>
        </w:numPr>
        <w:ind w:left="252" w:hanging="270"/>
        <w:rPr>
          <w:sz w:val="20"/>
          <w:szCs w:val="20"/>
        </w:rPr>
      </w:pPr>
      <w:r w:rsidRPr="00D850F7">
        <w:rPr>
          <w:sz w:val="20"/>
          <w:szCs w:val="20"/>
        </w:rPr>
        <w:t>List and description of Living Learning Communities</w:t>
      </w:r>
      <w:r w:rsidR="00104DF4" w:rsidRPr="00D850F7">
        <w:rPr>
          <w:sz w:val="20"/>
          <w:szCs w:val="20"/>
        </w:rPr>
        <w:t xml:space="preserve"> (</w:t>
      </w:r>
      <w:r w:rsidR="00104DF4" w:rsidRPr="00D850F7">
        <w:t>http://miamioh.edu/student-life/residence-life/living-learning-communities/LLCs/index.html</w:t>
      </w:r>
      <w:r w:rsidR="00513C1C" w:rsidRPr="00D850F7">
        <w:rPr>
          <w:sz w:val="20"/>
          <w:szCs w:val="20"/>
        </w:rPr>
        <w:t>); annual reports of LLCs for last year</w:t>
      </w:r>
    </w:p>
    <w:p w:rsidR="002B106E" w:rsidRPr="00D850F7" w:rsidRDefault="002B106E" w:rsidP="00257C1D">
      <w:pPr>
        <w:pStyle w:val="NoSpacing"/>
        <w:numPr>
          <w:ilvl w:val="0"/>
          <w:numId w:val="1"/>
        </w:numPr>
        <w:ind w:left="252" w:hanging="270"/>
        <w:rPr>
          <w:sz w:val="20"/>
          <w:szCs w:val="20"/>
        </w:rPr>
      </w:pPr>
      <w:r w:rsidRPr="00D850F7">
        <w:rPr>
          <w:sz w:val="20"/>
          <w:szCs w:val="20"/>
        </w:rPr>
        <w:t>List of student organizations in 2013-2014</w:t>
      </w:r>
      <w:r w:rsidR="00F26911" w:rsidRPr="00D850F7">
        <w:rPr>
          <w:sz w:val="20"/>
          <w:szCs w:val="20"/>
        </w:rPr>
        <w:t xml:space="preserve"> (ask Gwen Fears)</w:t>
      </w:r>
    </w:p>
    <w:p w:rsidR="00F26911" w:rsidRPr="00D850F7" w:rsidRDefault="00F26911" w:rsidP="00257C1D">
      <w:pPr>
        <w:pStyle w:val="NoSpacing"/>
        <w:numPr>
          <w:ilvl w:val="0"/>
          <w:numId w:val="1"/>
        </w:numPr>
        <w:ind w:left="252" w:hanging="270"/>
        <w:rPr>
          <w:sz w:val="20"/>
          <w:szCs w:val="20"/>
        </w:rPr>
      </w:pPr>
      <w:r w:rsidRPr="00D850F7">
        <w:rPr>
          <w:sz w:val="20"/>
          <w:szCs w:val="20"/>
        </w:rPr>
        <w:t>P&amp;T criteria as described in MUPIM, section 7.</w:t>
      </w:r>
    </w:p>
    <w:p w:rsidR="004E0D39" w:rsidRPr="00D850F7" w:rsidRDefault="004E0D39" w:rsidP="00257C1D">
      <w:pPr>
        <w:pStyle w:val="NoSpacing"/>
        <w:numPr>
          <w:ilvl w:val="0"/>
          <w:numId w:val="1"/>
        </w:numPr>
        <w:ind w:left="252" w:hanging="270"/>
        <w:rPr>
          <w:sz w:val="20"/>
          <w:szCs w:val="20"/>
        </w:rPr>
      </w:pPr>
      <w:r w:rsidRPr="00D850F7">
        <w:rPr>
          <w:sz w:val="20"/>
          <w:szCs w:val="20"/>
        </w:rPr>
        <w:t>Enrollment profile in Fact Book [http://www.units.muohio.edu/oir/FactBook/FactBookMain.htm]</w:t>
      </w:r>
    </w:p>
    <w:p w:rsidR="00F26911" w:rsidRPr="00D850F7" w:rsidRDefault="00F26911" w:rsidP="00257C1D">
      <w:pPr>
        <w:pStyle w:val="NoSpacing"/>
        <w:numPr>
          <w:ilvl w:val="0"/>
          <w:numId w:val="1"/>
        </w:numPr>
        <w:ind w:left="252" w:hanging="270"/>
        <w:rPr>
          <w:sz w:val="20"/>
          <w:szCs w:val="20"/>
        </w:rPr>
      </w:pPr>
      <w:r w:rsidRPr="00D850F7">
        <w:rPr>
          <w:sz w:val="20"/>
          <w:szCs w:val="20"/>
        </w:rPr>
        <w:t>OARS grant annual reports</w:t>
      </w:r>
    </w:p>
    <w:p w:rsidR="003A7424" w:rsidRDefault="003A7424">
      <w:pPr>
        <w:rPr>
          <w:b/>
          <w:bCs/>
          <w:spacing w:val="5"/>
          <w:sz w:val="24"/>
          <w:szCs w:val="24"/>
        </w:rPr>
      </w:pPr>
      <w:r>
        <w:br w:type="page"/>
      </w:r>
    </w:p>
    <w:p w:rsidR="000F126B" w:rsidRPr="00446646" w:rsidRDefault="000F126B" w:rsidP="000F126B">
      <w:pPr>
        <w:pStyle w:val="Heading4"/>
      </w:pPr>
      <w:r w:rsidRPr="00446646">
        <w:lastRenderedPageBreak/>
        <w:t>1.B.     The mission is articulated publicly.</w:t>
      </w:r>
    </w:p>
    <w:p w:rsidR="000F126B" w:rsidRPr="0061076D" w:rsidRDefault="000F126B" w:rsidP="000F126B">
      <w:pPr>
        <w:pStyle w:val="Heading5"/>
        <w:ind w:left="720" w:hanging="720"/>
      </w:pPr>
      <w:r w:rsidRPr="0061076D">
        <w:t>1.B.1.   The institution clearly defines its mission through one or more publi</w:t>
      </w:r>
      <w:r w:rsidR="00AF6CF8">
        <w:t xml:space="preserve">c documents, such as statements </w:t>
      </w:r>
      <w:r w:rsidRPr="0061076D">
        <w:t>of purpose, vision, values, goals, plans, or institutional priorities.</w:t>
      </w:r>
    </w:p>
    <w:p w:rsidR="000F126B" w:rsidRPr="0061076D" w:rsidRDefault="000F126B" w:rsidP="000F126B">
      <w:pPr>
        <w:pStyle w:val="Heading5"/>
        <w:ind w:left="720" w:hanging="720"/>
      </w:pPr>
      <w:r w:rsidRPr="0061076D">
        <w:t>1.B.2.   The mission document or documents are current and explain the extent of the institution’s emphasis on the various aspects of its mission, such as instruction, scholarship, research, application of research, creative works, clinical service, public service, economic development, and religious or cultural purpose.</w:t>
      </w:r>
    </w:p>
    <w:p w:rsidR="000F126B" w:rsidRDefault="000F126B" w:rsidP="000F126B">
      <w:pPr>
        <w:pStyle w:val="Heading5"/>
        <w:ind w:left="720" w:hanging="720"/>
      </w:pPr>
      <w:r w:rsidRPr="0061076D">
        <w:t>1.B.3.   The mission document or documents identify the nature, scope, and intended constituents of the higher education programs and services the institution provides.</w:t>
      </w:r>
    </w:p>
    <w:p w:rsidR="003E42F4" w:rsidRDefault="003E42F4" w:rsidP="003E42F4"/>
    <w:p w:rsidR="003E42F4" w:rsidRDefault="003E42F4" w:rsidP="003E42F4">
      <w:pPr>
        <w:pStyle w:val="Heading2"/>
      </w:pPr>
      <w:r>
        <w:t>Narrative</w:t>
      </w:r>
    </w:p>
    <w:p w:rsidR="004B305B" w:rsidRDefault="008B7BA2" w:rsidP="004B305B">
      <w:r>
        <w:t>Miami University demonstrates its</w:t>
      </w:r>
      <w:r w:rsidR="004B305B">
        <w:t xml:space="preserve"> pride in</w:t>
      </w:r>
      <w:r>
        <w:t xml:space="preserve"> and dedication to</w:t>
      </w:r>
      <w:r w:rsidR="004B305B">
        <w:t xml:space="preserve"> its mission</w:t>
      </w:r>
      <w:r>
        <w:t xml:space="preserve"> by </w:t>
      </w:r>
      <w:r w:rsidR="00B42F6F">
        <w:t>featuring</w:t>
      </w:r>
      <w:r w:rsidR="00F769D7">
        <w:t xml:space="preserve"> it in key documents</w:t>
      </w:r>
      <w:r w:rsidR="00C77367">
        <w:t>, such as</w:t>
      </w:r>
      <w:r>
        <w:t xml:space="preserve"> the General Bulletin, website, student handbooks</w:t>
      </w:r>
      <w:r w:rsidR="00C400E8">
        <w:t xml:space="preserve">, and at </w:t>
      </w:r>
      <w:r w:rsidR="00F769D7">
        <w:t>public venues</w:t>
      </w:r>
      <w:r w:rsidR="00504F82">
        <w:t>,</w:t>
      </w:r>
      <w:r w:rsidR="00F769D7">
        <w:t xml:space="preserve"> such as </w:t>
      </w:r>
      <w:r w:rsidR="00C400E8">
        <w:t xml:space="preserve">recruitment events, </w:t>
      </w:r>
      <w:r w:rsidR="00C77367">
        <w:t>orientation, convocation, commencement, and presidential addresses.</w:t>
      </w:r>
      <w:r w:rsidR="00C400E8">
        <w:t xml:space="preserve"> </w:t>
      </w:r>
      <w:r w:rsidR="00B42F6F">
        <w:t>T</w:t>
      </w:r>
      <w:r w:rsidR="00C400E8">
        <w:t xml:space="preserve">he mission is embedded in other core statements, including the vision, diversity, and values statements. </w:t>
      </w:r>
    </w:p>
    <w:p w:rsidR="000056DF" w:rsidRPr="00B85864" w:rsidRDefault="00A55231" w:rsidP="000056DF">
      <w:r>
        <w:t>Developed in 2007, the vision statement was designed t</w:t>
      </w:r>
      <w:r w:rsidR="000056DF" w:rsidRPr="00B85864">
        <w:t>o ensure that Miami continues to build upon its historic strengths while also tak</w:t>
      </w:r>
      <w:r w:rsidR="008C1F05">
        <w:t>ing concerted strides toward</w:t>
      </w:r>
      <w:r w:rsidR="000056DF" w:rsidRPr="00B85864">
        <w:t xml:space="preserve"> future improvement: “</w:t>
      </w:r>
      <w:r w:rsidR="000056DF" w:rsidRPr="00E71CEC">
        <w:rPr>
          <w:b/>
          <w:i/>
        </w:rPr>
        <w:t>Provide the best undergraduate experience in the nation, enhanced by superior, select graduate program</w:t>
      </w:r>
      <w:r w:rsidR="00B42F6F" w:rsidRPr="00E71CEC">
        <w:rPr>
          <w:b/>
          <w:i/>
        </w:rPr>
        <w:t>s</w:t>
      </w:r>
      <w:r w:rsidR="000056DF" w:rsidRPr="00B85864">
        <w:t xml:space="preserve">.”  </w:t>
      </w:r>
    </w:p>
    <w:p w:rsidR="000056DF" w:rsidRPr="00DC706E" w:rsidRDefault="000056DF" w:rsidP="000056DF">
      <w:r w:rsidRPr="00DC706E">
        <w:t xml:space="preserve">Two additional core statements, </w:t>
      </w:r>
      <w:r>
        <w:t>“</w:t>
      </w:r>
      <w:r w:rsidRPr="00DC706E">
        <w:t>Values Statement</w:t>
      </w:r>
      <w:r>
        <w:t>”</w:t>
      </w:r>
      <w:r w:rsidRPr="00DC706E">
        <w:t xml:space="preserve"> and </w:t>
      </w:r>
      <w:r>
        <w:t>“</w:t>
      </w:r>
      <w:r w:rsidRPr="00DC706E">
        <w:t>Statement Asserting the Respect for Human Diversity,</w:t>
      </w:r>
      <w:r>
        <w:t>”</w:t>
      </w:r>
      <w:r w:rsidRPr="00DC706E">
        <w:t xml:space="preserve"> </w:t>
      </w:r>
      <w:r w:rsidR="00E71CEC">
        <w:t xml:space="preserve">which </w:t>
      </w:r>
      <w:r w:rsidR="00A55231">
        <w:t xml:space="preserve">complement the mission, </w:t>
      </w:r>
      <w:r w:rsidRPr="00DC706E">
        <w:t>were approved in 2002 and 2004, respectively. In 2013, the v</w:t>
      </w:r>
      <w:r w:rsidR="00504F82">
        <w:t xml:space="preserve">alues statement was </w:t>
      </w:r>
      <w:r w:rsidR="009B100C">
        <w:t>recast as the “Code of Love and Honor.”</w:t>
      </w:r>
      <w:r w:rsidRPr="00DC706E">
        <w:t xml:space="preserve">  S</w:t>
      </w:r>
      <w:r>
        <w:t>ince then, s</w:t>
      </w:r>
      <w:r w:rsidRPr="00DC706E">
        <w:t>tudents</w:t>
      </w:r>
      <w:r>
        <w:t xml:space="preserve"> have been introduced to the code at summer orientation and given a wallet size copy at the c</w:t>
      </w:r>
      <w:r w:rsidRPr="00DC706E">
        <w:t>onvocation</w:t>
      </w:r>
      <w:r>
        <w:t xml:space="preserve"> ceremony, and it is reinforced on the</w:t>
      </w:r>
      <w:r w:rsidR="008C1557">
        <w:t xml:space="preserve"> university</w:t>
      </w:r>
      <w:r w:rsidR="00062DAA">
        <w:t xml:space="preserve"> website</w:t>
      </w:r>
      <w:r w:rsidR="00692EDE">
        <w:t>, in messaging across the u</w:t>
      </w:r>
      <w:r>
        <w:t>niversity, and at other key events, including commencement</w:t>
      </w:r>
      <w:r w:rsidR="00764B15">
        <w:t xml:space="preserve"> and</w:t>
      </w:r>
      <w:r w:rsidR="00062DAA">
        <w:t xml:space="preserve"> the 2013 presidential address</w:t>
      </w:r>
      <w:r>
        <w:t xml:space="preserve">. </w:t>
      </w:r>
      <w:r w:rsidRPr="00DC706E">
        <w:t>Used to asse</w:t>
      </w:r>
      <w:r>
        <w:t>r</w:t>
      </w:r>
      <w:r w:rsidRPr="00DC706E">
        <w:t>t our traditions and define the culture to which we aspire and who we are as Mia</w:t>
      </w:r>
      <w:r w:rsidR="008C1557">
        <w:t>mians, the code reads</w:t>
      </w:r>
      <w:r w:rsidRPr="00DC706E">
        <w:t>:</w:t>
      </w:r>
    </w:p>
    <w:p w:rsidR="000056DF" w:rsidRDefault="000056DF" w:rsidP="000056DF">
      <w:pPr>
        <w:pStyle w:val="NoSpacing"/>
        <w:ind w:left="540" w:hanging="180"/>
      </w:pPr>
      <w:r>
        <w:rPr>
          <w:rStyle w:val="Strong"/>
          <w:rFonts w:ascii="Helvetica" w:hAnsi="Helvetica" w:cs="Helvetica"/>
          <w:color w:val="222222"/>
          <w:sz w:val="18"/>
          <w:szCs w:val="18"/>
        </w:rPr>
        <w:t>I Am Miami.</w:t>
      </w:r>
    </w:p>
    <w:p w:rsidR="000056DF" w:rsidRDefault="000056DF" w:rsidP="000056DF">
      <w:pPr>
        <w:pStyle w:val="NoSpacing"/>
        <w:ind w:left="540" w:hanging="180"/>
      </w:pPr>
      <w:r>
        <w:rPr>
          <w:rStyle w:val="Strong"/>
          <w:rFonts w:ascii="Helvetica" w:hAnsi="Helvetica" w:cs="Helvetica"/>
          <w:color w:val="222222"/>
          <w:sz w:val="18"/>
          <w:szCs w:val="18"/>
        </w:rPr>
        <w:t>I believe</w:t>
      </w:r>
      <w:r>
        <w:t> that a liberal education is grounded in qualities of character and intellect.</w:t>
      </w:r>
    </w:p>
    <w:p w:rsidR="000056DF" w:rsidRDefault="000056DF" w:rsidP="000056DF">
      <w:pPr>
        <w:pStyle w:val="NoSpacing"/>
        <w:ind w:left="540" w:hanging="180"/>
      </w:pPr>
      <w:r>
        <w:rPr>
          <w:rStyle w:val="Strong"/>
          <w:rFonts w:ascii="Helvetica" w:hAnsi="Helvetica" w:cs="Helvetica"/>
          <w:color w:val="222222"/>
          <w:sz w:val="18"/>
          <w:szCs w:val="18"/>
        </w:rPr>
        <w:t>I stand</w:t>
      </w:r>
      <w:r>
        <w:t> for honesty, integrity, and the importance of moral conduct.</w:t>
      </w:r>
    </w:p>
    <w:p w:rsidR="000056DF" w:rsidRDefault="000056DF" w:rsidP="000056DF">
      <w:pPr>
        <w:pStyle w:val="NoSpacing"/>
        <w:ind w:left="540" w:hanging="180"/>
      </w:pPr>
      <w:r>
        <w:rPr>
          <w:rStyle w:val="Strong"/>
          <w:rFonts w:ascii="Helvetica" w:hAnsi="Helvetica" w:cs="Helvetica"/>
          <w:color w:val="222222"/>
          <w:sz w:val="18"/>
          <w:szCs w:val="18"/>
        </w:rPr>
        <w:t>I respect</w:t>
      </w:r>
      <w:r>
        <w:t> the dignity, rights, and property of others and their right to hold and express disparate beliefs.</w:t>
      </w:r>
    </w:p>
    <w:p w:rsidR="000056DF" w:rsidRDefault="000056DF" w:rsidP="000056DF">
      <w:pPr>
        <w:pStyle w:val="NoSpacing"/>
        <w:ind w:left="540" w:hanging="180"/>
      </w:pPr>
      <w:r>
        <w:rPr>
          <w:rStyle w:val="Strong"/>
          <w:rFonts w:ascii="Helvetica" w:hAnsi="Helvetica" w:cs="Helvetica"/>
          <w:color w:val="222222"/>
          <w:sz w:val="18"/>
          <w:szCs w:val="18"/>
        </w:rPr>
        <w:t>I defend</w:t>
      </w:r>
      <w:r>
        <w:t> the freedom of inquiry that is the heart of learning.</w:t>
      </w:r>
    </w:p>
    <w:p w:rsidR="000056DF" w:rsidRDefault="000056DF" w:rsidP="000056DF">
      <w:pPr>
        <w:pStyle w:val="NoSpacing"/>
        <w:ind w:left="540" w:hanging="180"/>
      </w:pPr>
      <w:r>
        <w:rPr>
          <w:rStyle w:val="Strong"/>
          <w:rFonts w:ascii="Helvetica" w:hAnsi="Helvetica" w:cs="Helvetica"/>
          <w:color w:val="222222"/>
          <w:sz w:val="18"/>
          <w:szCs w:val="18"/>
        </w:rPr>
        <w:t>I exercise</w:t>
      </w:r>
      <w:r>
        <w:t> good judgment and believe in personal responsibility.</w:t>
      </w:r>
    </w:p>
    <w:p w:rsidR="000056DF" w:rsidRDefault="000056DF" w:rsidP="000056DF">
      <w:pPr>
        <w:pStyle w:val="NoSpacing"/>
        <w:ind w:left="540" w:hanging="180"/>
      </w:pPr>
      <w:r>
        <w:rPr>
          <w:rStyle w:val="Strong"/>
          <w:rFonts w:ascii="Helvetica" w:hAnsi="Helvetica" w:cs="Helvetica"/>
          <w:color w:val="222222"/>
          <w:sz w:val="18"/>
          <w:szCs w:val="18"/>
        </w:rPr>
        <w:t>I welcome</w:t>
      </w:r>
      <w:r>
        <w:t> a diversity of people, ideas, and experiences.</w:t>
      </w:r>
    </w:p>
    <w:p w:rsidR="000056DF" w:rsidRDefault="000056DF" w:rsidP="000056DF">
      <w:pPr>
        <w:pStyle w:val="NoSpacing"/>
        <w:ind w:left="540" w:hanging="180"/>
      </w:pPr>
      <w:r>
        <w:rPr>
          <w:rStyle w:val="Strong"/>
          <w:rFonts w:ascii="Helvetica" w:hAnsi="Helvetica" w:cs="Helvetica"/>
          <w:color w:val="222222"/>
          <w:sz w:val="18"/>
          <w:szCs w:val="18"/>
        </w:rPr>
        <w:t>I embrace</w:t>
      </w:r>
      <w:r>
        <w:t> the spirit, academic rigor, opportunities, and challenges of a Miami Experience, preparing me to make the world a better place.</w:t>
      </w:r>
    </w:p>
    <w:p w:rsidR="000056DF" w:rsidRDefault="000056DF" w:rsidP="000056DF">
      <w:pPr>
        <w:pStyle w:val="NoSpacing"/>
        <w:ind w:left="540" w:hanging="180"/>
      </w:pPr>
      <w:r>
        <w:rPr>
          <w:rStyle w:val="Strong"/>
          <w:rFonts w:ascii="Helvetica" w:hAnsi="Helvetica" w:cs="Helvetica"/>
          <w:color w:val="222222"/>
          <w:sz w:val="18"/>
          <w:szCs w:val="18"/>
        </w:rPr>
        <w:t>I demonstrate</w:t>
      </w:r>
      <w:r>
        <w:t> Love and Honor by supporting and caring for my fellow Miamians.</w:t>
      </w:r>
    </w:p>
    <w:p w:rsidR="000056DF" w:rsidRDefault="000056DF" w:rsidP="000056DF">
      <w:pPr>
        <w:pStyle w:val="NoSpacing"/>
        <w:ind w:left="540" w:hanging="180"/>
      </w:pPr>
      <w:r>
        <w:t>And because I Am Miami,</w:t>
      </w:r>
    </w:p>
    <w:p w:rsidR="000056DF" w:rsidRDefault="000056DF" w:rsidP="000056DF">
      <w:pPr>
        <w:pStyle w:val="NoSpacing"/>
        <w:ind w:left="540" w:hanging="180"/>
      </w:pPr>
      <w:r>
        <w:rPr>
          <w:rStyle w:val="Strong"/>
          <w:rFonts w:ascii="Helvetica" w:hAnsi="Helvetica" w:cs="Helvetica"/>
          <w:color w:val="222222"/>
          <w:sz w:val="18"/>
          <w:szCs w:val="18"/>
        </w:rPr>
        <w:t>I act</w:t>
      </w:r>
      <w:r>
        <w:t> through my words and deeds in ways that reflect these values and beliefs.</w:t>
      </w:r>
    </w:p>
    <w:p w:rsidR="000056DF" w:rsidRDefault="000056DF" w:rsidP="000056DF">
      <w:pPr>
        <w:pStyle w:val="NoSpacing"/>
        <w:ind w:left="540" w:hanging="180"/>
      </w:pPr>
      <w:r>
        <w:t>With a deep sense of accomplishment and gratitude,</w:t>
      </w:r>
    </w:p>
    <w:p w:rsidR="000056DF" w:rsidRDefault="000056DF" w:rsidP="000056DF">
      <w:pPr>
        <w:pStyle w:val="NoSpacing"/>
        <w:ind w:left="540" w:hanging="180"/>
      </w:pPr>
      <w:r>
        <w:rPr>
          <w:rStyle w:val="Strong"/>
          <w:rFonts w:ascii="Helvetica" w:hAnsi="Helvetica" w:cs="Helvetica"/>
          <w:color w:val="222222"/>
          <w:sz w:val="18"/>
          <w:szCs w:val="18"/>
        </w:rPr>
        <w:t>I will</w:t>
      </w:r>
      <w:r>
        <w:t> Love, Honor, and make proud those who help me earn the joy and privilege of saying,</w:t>
      </w:r>
    </w:p>
    <w:p w:rsidR="000056DF" w:rsidRDefault="000056DF" w:rsidP="000056DF">
      <w:pPr>
        <w:pStyle w:val="NoSpacing"/>
      </w:pPr>
    </w:p>
    <w:p w:rsidR="00A55231" w:rsidRDefault="00A55231" w:rsidP="008D4DCC">
      <w:r>
        <w:t xml:space="preserve">The mission and core statements all focus on the key tenets of a liberal education, including integrity, freedom of inquiry, scholarly inquiry and academic excellence, inclusion and diversity, </w:t>
      </w:r>
      <w:r w:rsidR="00B64D51">
        <w:t xml:space="preserve">moral character, </w:t>
      </w:r>
      <w:r>
        <w:t>and personal responsibility.</w:t>
      </w:r>
    </w:p>
    <w:p w:rsidR="00DD5BE5" w:rsidRDefault="00DD5BE5" w:rsidP="008D4DCC">
      <w:r>
        <w:lastRenderedPageBreak/>
        <w:t>These tenets as w</w:t>
      </w:r>
      <w:r w:rsidR="00C673AA">
        <w:t xml:space="preserve">ell as the overall mission </w:t>
      </w:r>
      <w:r>
        <w:t>have fo</w:t>
      </w:r>
      <w:r w:rsidR="002E4A8B">
        <w:t xml:space="preserve">rmed the bedrock of Miami’s </w:t>
      </w:r>
      <w:r>
        <w:t>planning efforts, includ</w:t>
      </w:r>
      <w:r w:rsidR="00CA73B5">
        <w:t>ing the First in 2009 Goals (2002-2008), the Five-Year Strategic Goals (2009-2014)</w:t>
      </w:r>
      <w:r>
        <w:t>, and the current Miami 2020 Plan.</w:t>
      </w:r>
    </w:p>
    <w:p w:rsidR="008F0E0D" w:rsidRDefault="0070624B" w:rsidP="008D4DCC">
      <w:r>
        <w:t>Created by President Jim Garland, t</w:t>
      </w:r>
      <w:r w:rsidR="008F0E0D">
        <w:t>he First in 2009 plan focused on building innovatively upon the traditional hallmarks of the Miami educational experience and encompassed eight goals: a m</w:t>
      </w:r>
      <w:r w:rsidR="009F652B">
        <w:t>ore highly qualified student bod</w:t>
      </w:r>
      <w:r w:rsidR="008F0E0D">
        <w:t>y, greater academic support for faculty, a stronger curriculum, richer intellectual &amp; cultural life, greater diversity, enhanced facilities, stronger revenue base, and improved ability to learn from other institutions.</w:t>
      </w:r>
      <w:r w:rsidR="008C52CC">
        <w:t xml:space="preserve">  After researching best practices at other institutions, al</w:t>
      </w:r>
      <w:r w:rsidR="008F0E0D">
        <w:t xml:space="preserve">l divisions </w:t>
      </w:r>
      <w:r w:rsidR="00C673AA">
        <w:t xml:space="preserve">and departments </w:t>
      </w:r>
      <w:r w:rsidR="008F0E0D">
        <w:t>set their own target go</w:t>
      </w:r>
      <w:r w:rsidR="00692EDE">
        <w:t>als that were aligned with the u</w:t>
      </w:r>
      <w:r w:rsidR="008F0E0D">
        <w:t>niversity’</w:t>
      </w:r>
      <w:r w:rsidR="008C52CC">
        <w:t xml:space="preserve">s eight goals.  </w:t>
      </w:r>
    </w:p>
    <w:p w:rsidR="0070624B" w:rsidRDefault="0070624B" w:rsidP="008D4DCC">
      <w:r>
        <w:t xml:space="preserve">Developed by President David C. Hodge in 2008 with the endorsement of the Board of Trustees, the </w:t>
      </w:r>
      <w:r w:rsidR="00710C71">
        <w:t xml:space="preserve">Five-Year Strategic Goals </w:t>
      </w:r>
      <w:r w:rsidR="00504F82">
        <w:t xml:space="preserve">Document </w:t>
      </w:r>
      <w:r w:rsidR="00DC67A6">
        <w:t>rea</w:t>
      </w:r>
      <w:r w:rsidR="002E4A8B">
        <w:t>ffirmed</w:t>
      </w:r>
      <w:r w:rsidR="00DC67A6">
        <w:t xml:space="preserve"> our core values with the statement, “The defining hallmarks of an engaged Miami education are a broad foundation in the liberal arts and an intense focus on both the intellectual and personal development of highly motivated undergraduates, leading </w:t>
      </w:r>
      <w:r w:rsidR="00C673AA">
        <w:t>to exceptional student success.”</w:t>
      </w:r>
      <w:r w:rsidR="00DC67A6">
        <w:t xml:space="preserve"> The document also f</w:t>
      </w:r>
      <w:r w:rsidR="00710C71">
        <w:t>ocused on five key goals</w:t>
      </w:r>
      <w:r>
        <w:t>:</w:t>
      </w:r>
    </w:p>
    <w:p w:rsidR="0070624B" w:rsidRDefault="00710C71" w:rsidP="000945E2">
      <w:pPr>
        <w:pStyle w:val="NoSpacing"/>
        <w:numPr>
          <w:ilvl w:val="0"/>
          <w:numId w:val="17"/>
        </w:numPr>
      </w:pPr>
      <w:r>
        <w:t xml:space="preserve">Make the Miami undergraduate experience among the very best in the nation. </w:t>
      </w:r>
    </w:p>
    <w:p w:rsidR="00710C71" w:rsidRDefault="00710C71" w:rsidP="000945E2">
      <w:pPr>
        <w:pStyle w:val="NoSpacing"/>
        <w:numPr>
          <w:ilvl w:val="0"/>
          <w:numId w:val="17"/>
        </w:numPr>
      </w:pPr>
      <w:r>
        <w:t>Ensure excellence in graduate education.</w:t>
      </w:r>
    </w:p>
    <w:p w:rsidR="00710C71" w:rsidRDefault="00710C71" w:rsidP="000945E2">
      <w:pPr>
        <w:pStyle w:val="NoSpacing"/>
        <w:numPr>
          <w:ilvl w:val="0"/>
          <w:numId w:val="17"/>
        </w:numPr>
      </w:pPr>
      <w:r>
        <w:t>Raise the level of scholarly accomplishments.</w:t>
      </w:r>
    </w:p>
    <w:p w:rsidR="00710C71" w:rsidRDefault="00710C71" w:rsidP="000945E2">
      <w:pPr>
        <w:pStyle w:val="NoSpacing"/>
        <w:numPr>
          <w:ilvl w:val="0"/>
          <w:numId w:val="17"/>
        </w:numPr>
      </w:pPr>
      <w:r>
        <w:t>Maximize Miami’s contributions to regional, state, national and global communities.</w:t>
      </w:r>
    </w:p>
    <w:p w:rsidR="00710C71" w:rsidRDefault="00710C71" w:rsidP="000945E2">
      <w:pPr>
        <w:pStyle w:val="NoSpacing"/>
        <w:numPr>
          <w:ilvl w:val="0"/>
          <w:numId w:val="17"/>
        </w:numPr>
      </w:pPr>
      <w:r>
        <w:t>Establish a firm foundation for our future success by maximizing and leveraging our resources.</w:t>
      </w:r>
    </w:p>
    <w:p w:rsidR="008F0E0D" w:rsidRDefault="008F0E0D" w:rsidP="000056DF">
      <w:pPr>
        <w:pStyle w:val="NoSpacing"/>
      </w:pPr>
    </w:p>
    <w:p w:rsidR="006D0406" w:rsidRDefault="00456C55" w:rsidP="0070236F">
      <w:r>
        <w:t>Crafted through an inclusive and comprehensive planning process</w:t>
      </w:r>
      <w:r w:rsidR="00FB1AD0">
        <w:t xml:space="preserve"> consisting of 50 representatives from all academic and administrative divisions</w:t>
      </w:r>
      <w:r w:rsidR="00FE7AB8">
        <w:t xml:space="preserve"> and approved by the University Senate and Board of Trustees</w:t>
      </w:r>
      <w:r>
        <w:t>, th</w:t>
      </w:r>
      <w:r w:rsidR="00EF0B9E">
        <w:t xml:space="preserve">e newly adopted Miami 2020 Plan </w:t>
      </w:r>
      <w:r w:rsidR="006D0406">
        <w:t>focuses on one unifying goal: “Promote a vibrant learning and discover</w:t>
      </w:r>
      <w:r w:rsidR="00AC7B02">
        <w:t>y</w:t>
      </w:r>
      <w:r w:rsidR="006D0406">
        <w:t xml:space="preserve"> environment that produces extraordinary student and scholarly outcomes.”  This goal is supported by three foundational goals:</w:t>
      </w:r>
    </w:p>
    <w:p w:rsidR="007A3DE2" w:rsidRDefault="007A3DE2" w:rsidP="000945E2">
      <w:pPr>
        <w:pStyle w:val="NoSpacing"/>
        <w:numPr>
          <w:ilvl w:val="0"/>
          <w:numId w:val="18"/>
        </w:numPr>
      </w:pPr>
      <w:r>
        <w:t xml:space="preserve">Ensure </w:t>
      </w:r>
      <w:r w:rsidR="00A07A10">
        <w:t>vitality and sustainability by building a forward-looking, efficient, and caring culture that stimulates, recognizes, and rewards creativity, entrepreneurial thinking, and exemplary performance.</w:t>
      </w:r>
    </w:p>
    <w:p w:rsidR="00A07A10" w:rsidRDefault="00A07A10" w:rsidP="000945E2">
      <w:pPr>
        <w:pStyle w:val="NoSpacing"/>
        <w:numPr>
          <w:ilvl w:val="0"/>
          <w:numId w:val="18"/>
        </w:numPr>
      </w:pPr>
      <w:r>
        <w:t>Promote a diverse culture of inclusion, integrity, and collaboration that deepens understanding and embraces intercultural and global experiences.</w:t>
      </w:r>
    </w:p>
    <w:p w:rsidR="00A07A10" w:rsidRDefault="00A07A10" w:rsidP="000945E2">
      <w:pPr>
        <w:pStyle w:val="NoSpacing"/>
        <w:numPr>
          <w:ilvl w:val="0"/>
          <w:numId w:val="18"/>
        </w:numPr>
      </w:pPr>
      <w:r>
        <w:t>Cultivate mutually beneficial partnerships and applied and service-oriented projects that strengthen our local, state, national, and world communities.</w:t>
      </w:r>
    </w:p>
    <w:p w:rsidR="00A07A10" w:rsidRDefault="00A07A10" w:rsidP="00A07A10">
      <w:pPr>
        <w:pStyle w:val="NoSpacing"/>
      </w:pPr>
    </w:p>
    <w:p w:rsidR="00A07A10" w:rsidRDefault="00FB1AD0" w:rsidP="0070236F">
      <w:r>
        <w:t xml:space="preserve">Each goal includes objectives and specific metrics for gauging progress.  All divisions, departments, programs, and offices </w:t>
      </w:r>
      <w:r w:rsidR="00981F64">
        <w:t xml:space="preserve">have </w:t>
      </w:r>
      <w:r w:rsidR="006A5AFD">
        <w:t>identifi</w:t>
      </w:r>
      <w:r>
        <w:t>ed strategies, challenges</w:t>
      </w:r>
      <w:r w:rsidR="002E4A8B">
        <w:t>,</w:t>
      </w:r>
      <w:r>
        <w:t xml:space="preserve"> and opportunities for achieving the metrics, objectives</w:t>
      </w:r>
      <w:r w:rsidR="001E34E1">
        <w:t xml:space="preserve">, and goals; </w:t>
      </w:r>
      <w:r>
        <w:t xml:space="preserve">and </w:t>
      </w:r>
      <w:r w:rsidR="001E34E1">
        <w:t xml:space="preserve">each will report annually on </w:t>
      </w:r>
      <w:r>
        <w:t>progress</w:t>
      </w:r>
      <w:r w:rsidR="001E34E1">
        <w:t xml:space="preserve"> made</w:t>
      </w:r>
      <w:r>
        <w:t xml:space="preserve">.  </w:t>
      </w:r>
    </w:p>
    <w:p w:rsidR="00456C55" w:rsidRDefault="003A3470" w:rsidP="0070236F">
      <w:r>
        <w:t xml:space="preserve">In addition, the academic mission guides </w:t>
      </w:r>
      <w:r w:rsidR="00E558BB">
        <w:t xml:space="preserve">the </w:t>
      </w:r>
      <w:r w:rsidR="00692EDE">
        <w:t>budgetary planning of the u</w:t>
      </w:r>
      <w:r>
        <w:t xml:space="preserve">niversity.  In 2010, a task force, led by two faculty members and including representatives from across all divisions, </w:t>
      </w:r>
      <w:r w:rsidR="00182D33">
        <w:t>use</w:t>
      </w:r>
      <w:r w:rsidR="00AE261A">
        <w:t>d</w:t>
      </w:r>
      <w:r w:rsidR="00182D33">
        <w:t xml:space="preserve"> the mission to guide the development of a </w:t>
      </w:r>
      <w:r w:rsidR="0054389B">
        <w:t>set of 35</w:t>
      </w:r>
      <w:r>
        <w:t xml:space="preserve"> strategic priorities recommendations to </w:t>
      </w:r>
      <w:r w:rsidR="0054389B">
        <w:t>improv</w:t>
      </w:r>
      <w:r w:rsidR="00C673AA">
        <w:t>e efficiencies while also promoting excellence</w:t>
      </w:r>
      <w:r w:rsidR="0054389B">
        <w:t xml:space="preserve"> and </w:t>
      </w:r>
      <w:r w:rsidR="00C673AA">
        <w:t>innovation</w:t>
      </w:r>
      <w:r>
        <w:t xml:space="preserve">.  </w:t>
      </w:r>
      <w:r w:rsidR="00692EDE">
        <w:t>The u</w:t>
      </w:r>
      <w:r w:rsidR="00485C02">
        <w:t>niversity’</w:t>
      </w:r>
      <w:r w:rsidR="00235FE1">
        <w:t>s annual budgets</w:t>
      </w:r>
      <w:r w:rsidR="00485C02">
        <w:t xml:space="preserve"> and campus master plan are also guided by the academic mission and strategic goals.  </w:t>
      </w:r>
      <w:r w:rsidR="00235FE1">
        <w:t xml:space="preserve">Members of </w:t>
      </w:r>
      <w:r w:rsidR="00A86494">
        <w:t xml:space="preserve">the </w:t>
      </w:r>
      <w:r w:rsidR="002C7112">
        <w:t>D</w:t>
      </w:r>
      <w:r w:rsidR="008C6846">
        <w:t xml:space="preserve">ivision of </w:t>
      </w:r>
      <w:r w:rsidR="002C7112">
        <w:t>F</w:t>
      </w:r>
      <w:r w:rsidR="00235FE1">
        <w:t>inanc</w:t>
      </w:r>
      <w:r w:rsidR="00A86494">
        <w:t xml:space="preserve">e and </w:t>
      </w:r>
      <w:r w:rsidR="002C7112">
        <w:t>B</w:t>
      </w:r>
      <w:r w:rsidR="00A86494">
        <w:t xml:space="preserve">usiness </w:t>
      </w:r>
      <w:r w:rsidR="002C7112">
        <w:t>S</w:t>
      </w:r>
      <w:r w:rsidR="008C6846">
        <w:t>ervices</w:t>
      </w:r>
      <w:r w:rsidR="00235FE1">
        <w:t xml:space="preserve"> particip</w:t>
      </w:r>
      <w:r w:rsidR="00A86494">
        <w:t>ated in the development of the strategic priorities r</w:t>
      </w:r>
      <w:r w:rsidR="00235FE1">
        <w:t xml:space="preserve">ecommendations and the Miami 2020 Plan.  </w:t>
      </w:r>
      <w:r w:rsidR="00A5784A">
        <w:t>Data and assumptions on enrollment and financial aid ar</w:t>
      </w:r>
      <w:r w:rsidR="009F652B">
        <w:t xml:space="preserve">e developed collaboratively among the vice president for finance and business services, </w:t>
      </w:r>
      <w:r w:rsidR="00A5784A">
        <w:t>vice president for enrollment management</w:t>
      </w:r>
      <w:r w:rsidR="006A5AFD">
        <w:t xml:space="preserve"> and student success</w:t>
      </w:r>
      <w:r w:rsidR="00A5784A">
        <w:t xml:space="preserve">, </w:t>
      </w:r>
      <w:r w:rsidR="009F652B">
        <w:t>provost, academic deans, and</w:t>
      </w:r>
      <w:r w:rsidR="00A5784A">
        <w:t xml:space="preserve"> institutional research director.  The budget framework is </w:t>
      </w:r>
      <w:r w:rsidR="00417E4B">
        <w:t xml:space="preserve">guided by the academic priorities and mission and is </w:t>
      </w:r>
      <w:r w:rsidR="00A5784A">
        <w:t>reviewed throughout the process of its development by th</w:t>
      </w:r>
      <w:r w:rsidR="008C6846">
        <w:t>e President’s Executive Cabinet and</w:t>
      </w:r>
      <w:r w:rsidR="00A5784A">
        <w:t xml:space="preserve"> the Fiscal Priorities Committee of University</w:t>
      </w:r>
      <w:r w:rsidR="008C6846">
        <w:t xml:space="preserve"> Senate, before being </w:t>
      </w:r>
      <w:r w:rsidR="00A5784A">
        <w:t>approved by the Board of Trustees.</w:t>
      </w:r>
    </w:p>
    <w:p w:rsidR="00417E4B" w:rsidRDefault="00417E4B" w:rsidP="0070236F">
      <w:r>
        <w:lastRenderedPageBreak/>
        <w:t>To ensure that Miami i</w:t>
      </w:r>
      <w:r w:rsidR="000B71AF">
        <w:t>s meeting the needs of the citizens</w:t>
      </w:r>
      <w:r>
        <w:t xml:space="preserve"> of Ohio, Miami University is actively engaged in all initiatives of the Ohio Board of Regents</w:t>
      </w:r>
      <w:r w:rsidR="00AD4E11">
        <w:t xml:space="preserve"> (OBOR)</w:t>
      </w:r>
      <w:r w:rsidR="00EC15E1">
        <w:t>, including transfer &amp; articul</w:t>
      </w:r>
      <w:r w:rsidR="007A12D8">
        <w:t>ation</w:t>
      </w:r>
      <w:r w:rsidR="000B71AF">
        <w:t xml:space="preserve"> policies</w:t>
      </w:r>
      <w:r w:rsidR="00AD4E11">
        <w:t>, course equivalencies</w:t>
      </w:r>
      <w:r w:rsidR="007A12D8">
        <w:t xml:space="preserve">, </w:t>
      </w:r>
      <w:r w:rsidR="001E34E1">
        <w:t xml:space="preserve">and </w:t>
      </w:r>
      <w:r w:rsidR="00A86494">
        <w:t>a</w:t>
      </w:r>
      <w:r w:rsidR="007A12D8">
        <w:t>dvanc</w:t>
      </w:r>
      <w:r w:rsidR="00A86494">
        <w:t>ed p</w:t>
      </w:r>
      <w:r w:rsidR="001E34E1">
        <w:t xml:space="preserve">lacement </w:t>
      </w:r>
      <w:r w:rsidR="00A86494">
        <w:t xml:space="preserve">(AP) </w:t>
      </w:r>
      <w:r w:rsidR="001E34E1">
        <w:t>credit guidelines</w:t>
      </w:r>
      <w:r>
        <w:t xml:space="preserve">.  In 2014, </w:t>
      </w:r>
      <w:r w:rsidR="00EC15E1">
        <w:t xml:space="preserve">Miami submitted </w:t>
      </w:r>
      <w:r w:rsidR="00AD4E11">
        <w:t xml:space="preserve">to OBOR </w:t>
      </w:r>
      <w:r w:rsidR="00A86494">
        <w:t>a u</w:t>
      </w:r>
      <w:r w:rsidR="00EC15E1">
        <w:t>ni</w:t>
      </w:r>
      <w:r w:rsidR="00A86494">
        <w:t>versity completion plan that was grounded in the academic mission of the u</w:t>
      </w:r>
      <w:r w:rsidR="00EC15E1">
        <w:t>niversity and guided by the goals set forth by the state.</w:t>
      </w:r>
    </w:p>
    <w:p w:rsidR="00E558BB" w:rsidRDefault="000B71AF" w:rsidP="0070236F">
      <w:r>
        <w:t xml:space="preserve">The challenges and areas of improvement related to this criterion include: </w:t>
      </w:r>
    </w:p>
    <w:p w:rsidR="009C1A11" w:rsidRPr="0070236F" w:rsidRDefault="009C1A11" w:rsidP="000945E2">
      <w:pPr>
        <w:pStyle w:val="ListParagraph"/>
        <w:numPr>
          <w:ilvl w:val="0"/>
          <w:numId w:val="19"/>
        </w:numPr>
      </w:pPr>
      <w:r w:rsidRPr="0070236F">
        <w:t>Complet</w:t>
      </w:r>
      <w:r w:rsidR="00A86494">
        <w:t>ing a rebuilding of the entire u</w:t>
      </w:r>
      <w:r w:rsidRPr="0070236F">
        <w:t>niversity website, including all departmental sites</w:t>
      </w:r>
      <w:r w:rsidR="000B71AF" w:rsidRPr="0070236F">
        <w:t>, to m</w:t>
      </w:r>
      <w:r w:rsidR="00A86494">
        <w:t xml:space="preserve">ore effectively communicate </w:t>
      </w:r>
      <w:r w:rsidR="000B71AF" w:rsidRPr="0070236F">
        <w:t>M</w:t>
      </w:r>
      <w:r w:rsidR="0070236F">
        <w:t>iami</w:t>
      </w:r>
      <w:r w:rsidR="00A86494">
        <w:t>’s</w:t>
      </w:r>
      <w:r w:rsidR="0070236F">
        <w:t xml:space="preserve"> mission, goals, and tenets;</w:t>
      </w:r>
    </w:p>
    <w:p w:rsidR="003E42F4" w:rsidRPr="0070236F" w:rsidRDefault="00CF03BB" w:rsidP="000945E2">
      <w:pPr>
        <w:pStyle w:val="ListParagraph"/>
        <w:numPr>
          <w:ilvl w:val="0"/>
          <w:numId w:val="19"/>
        </w:numPr>
      </w:pPr>
      <w:r>
        <w:t>Maintaining the</w:t>
      </w:r>
      <w:r w:rsidR="003E42F4" w:rsidRPr="0070236F">
        <w:t xml:space="preserve"> commitment to serving the state of Ohio while also remaining a highly selec</w:t>
      </w:r>
      <w:r>
        <w:t>tive and nationally recognized u</w:t>
      </w:r>
      <w:r w:rsidR="003E42F4" w:rsidRPr="0070236F">
        <w:t>niversity</w:t>
      </w:r>
      <w:r w:rsidR="00A43E7F" w:rsidRPr="0070236F">
        <w:t>;</w:t>
      </w:r>
    </w:p>
    <w:p w:rsidR="003E42F4" w:rsidRPr="0070236F" w:rsidRDefault="00CF03BB" w:rsidP="000945E2">
      <w:pPr>
        <w:pStyle w:val="ListParagraph"/>
        <w:numPr>
          <w:ilvl w:val="0"/>
          <w:numId w:val="19"/>
        </w:numPr>
      </w:pPr>
      <w:r>
        <w:t>Ensur</w:t>
      </w:r>
      <w:r w:rsidR="003E42F4" w:rsidRPr="0070236F">
        <w:t>i</w:t>
      </w:r>
      <w:r>
        <w:t>ng the focus on</w:t>
      </w:r>
      <w:r w:rsidR="008C6846">
        <w:t xml:space="preserve"> a</w:t>
      </w:r>
      <w:r w:rsidR="003E42F4" w:rsidRPr="0070236F">
        <w:t xml:space="preserve"> liberal </w:t>
      </w:r>
      <w:r w:rsidR="008C6846">
        <w:t xml:space="preserve">arts </w:t>
      </w:r>
      <w:r w:rsidR="003E42F4" w:rsidRPr="0070236F">
        <w:t>education</w:t>
      </w:r>
      <w:r w:rsidR="008C6846">
        <w:t xml:space="preserve"> </w:t>
      </w:r>
      <w:r w:rsidR="003E42F4" w:rsidRPr="0070236F">
        <w:t>while also being fiscally sound and generating revenue</w:t>
      </w:r>
      <w:r w:rsidR="00A43E7F" w:rsidRPr="0070236F">
        <w:t>.</w:t>
      </w:r>
    </w:p>
    <w:p w:rsidR="003E42F4" w:rsidRDefault="003E42F4" w:rsidP="003E42F4">
      <w:pPr>
        <w:pStyle w:val="Heading2"/>
      </w:pPr>
      <w:r>
        <w:t>Sources</w:t>
      </w:r>
    </w:p>
    <w:p w:rsidR="0070236F" w:rsidRPr="00D850F7" w:rsidRDefault="0070236F" w:rsidP="00257C1D">
      <w:pPr>
        <w:pStyle w:val="NoSpacing"/>
        <w:numPr>
          <w:ilvl w:val="0"/>
          <w:numId w:val="2"/>
        </w:numPr>
        <w:ind w:left="252" w:hanging="270"/>
        <w:rPr>
          <w:sz w:val="20"/>
          <w:szCs w:val="20"/>
        </w:rPr>
      </w:pPr>
      <w:r w:rsidRPr="00D850F7">
        <w:rPr>
          <w:sz w:val="20"/>
          <w:szCs w:val="20"/>
        </w:rPr>
        <w:t>Mission statement (in Bulletin, on website, Discover magazine</w:t>
      </w:r>
      <w:r w:rsidR="008E228C" w:rsidRPr="00D850F7">
        <w:rPr>
          <w:sz w:val="20"/>
          <w:szCs w:val="20"/>
        </w:rPr>
        <w:t>, Student Handbook, Graduate Handbook</w:t>
      </w:r>
      <w:r w:rsidRPr="00D850F7">
        <w:rPr>
          <w:sz w:val="20"/>
          <w:szCs w:val="20"/>
        </w:rPr>
        <w:t>)</w:t>
      </w:r>
    </w:p>
    <w:p w:rsidR="0070236F" w:rsidRPr="00D850F7" w:rsidRDefault="0070236F" w:rsidP="00257C1D">
      <w:pPr>
        <w:pStyle w:val="NoSpacing"/>
        <w:numPr>
          <w:ilvl w:val="0"/>
          <w:numId w:val="2"/>
        </w:numPr>
        <w:ind w:left="252" w:hanging="270"/>
        <w:rPr>
          <w:sz w:val="20"/>
          <w:szCs w:val="20"/>
        </w:rPr>
      </w:pPr>
      <w:r w:rsidRPr="00D850F7">
        <w:rPr>
          <w:sz w:val="20"/>
          <w:szCs w:val="20"/>
        </w:rPr>
        <w:t xml:space="preserve">Values Statement </w:t>
      </w:r>
    </w:p>
    <w:p w:rsidR="003E42F4" w:rsidRPr="00D850F7" w:rsidRDefault="00643B49" w:rsidP="00257C1D">
      <w:pPr>
        <w:pStyle w:val="NoSpacing"/>
        <w:numPr>
          <w:ilvl w:val="0"/>
          <w:numId w:val="2"/>
        </w:numPr>
        <w:ind w:left="252" w:hanging="270"/>
        <w:rPr>
          <w:sz w:val="20"/>
          <w:szCs w:val="20"/>
        </w:rPr>
      </w:pPr>
      <w:r w:rsidRPr="00D850F7">
        <w:rPr>
          <w:sz w:val="20"/>
          <w:szCs w:val="20"/>
        </w:rPr>
        <w:t>Statement Asserting Respect for Human Diversity</w:t>
      </w:r>
    </w:p>
    <w:p w:rsidR="00B42F6F" w:rsidRPr="00D850F7" w:rsidRDefault="006A5AFD" w:rsidP="00257C1D">
      <w:pPr>
        <w:pStyle w:val="NoSpacing"/>
        <w:numPr>
          <w:ilvl w:val="0"/>
          <w:numId w:val="2"/>
        </w:numPr>
        <w:ind w:left="252" w:hanging="270"/>
        <w:rPr>
          <w:sz w:val="20"/>
          <w:szCs w:val="20"/>
        </w:rPr>
      </w:pPr>
      <w:r w:rsidRPr="00D850F7">
        <w:rPr>
          <w:sz w:val="20"/>
          <w:szCs w:val="20"/>
        </w:rPr>
        <w:t>I A</w:t>
      </w:r>
      <w:r w:rsidR="00B42F6F" w:rsidRPr="00D850F7">
        <w:rPr>
          <w:sz w:val="20"/>
          <w:szCs w:val="20"/>
        </w:rPr>
        <w:t>m Miami website</w:t>
      </w:r>
      <w:r w:rsidR="004559D5" w:rsidRPr="00D850F7">
        <w:rPr>
          <w:sz w:val="20"/>
          <w:szCs w:val="20"/>
        </w:rPr>
        <w:t xml:space="preserve"> -- </w:t>
      </w:r>
      <w:r w:rsidR="004559D5" w:rsidRPr="00D850F7">
        <w:t>http://miamioh.edu/iammiami/about/index.html</w:t>
      </w:r>
    </w:p>
    <w:p w:rsidR="00CA73B5" w:rsidRPr="00D850F7" w:rsidRDefault="00CA73B5" w:rsidP="00257C1D">
      <w:pPr>
        <w:pStyle w:val="NoSpacing"/>
        <w:numPr>
          <w:ilvl w:val="0"/>
          <w:numId w:val="2"/>
        </w:numPr>
        <w:ind w:left="252" w:hanging="270"/>
        <w:rPr>
          <w:sz w:val="20"/>
          <w:szCs w:val="20"/>
        </w:rPr>
      </w:pPr>
      <w:r w:rsidRPr="00D850F7">
        <w:rPr>
          <w:sz w:val="20"/>
          <w:szCs w:val="20"/>
        </w:rPr>
        <w:t>First in 2009 Goals</w:t>
      </w:r>
    </w:p>
    <w:p w:rsidR="0054389B" w:rsidRPr="00D850F7" w:rsidRDefault="00CA73B5" w:rsidP="00257C1D">
      <w:pPr>
        <w:pStyle w:val="NoSpacing"/>
        <w:numPr>
          <w:ilvl w:val="0"/>
          <w:numId w:val="2"/>
        </w:numPr>
        <w:ind w:left="252" w:hanging="270"/>
        <w:rPr>
          <w:sz w:val="20"/>
          <w:szCs w:val="20"/>
        </w:rPr>
      </w:pPr>
      <w:r w:rsidRPr="00D850F7">
        <w:rPr>
          <w:sz w:val="20"/>
          <w:szCs w:val="20"/>
        </w:rPr>
        <w:t>Five-Year Strategic Goals [http://www.miamioh.edu/documents/spc/Strategic_Goals_06_08.pdf]</w:t>
      </w:r>
    </w:p>
    <w:p w:rsidR="00E71CEC" w:rsidRPr="00D850F7" w:rsidRDefault="00E71CEC" w:rsidP="00257C1D">
      <w:pPr>
        <w:pStyle w:val="NoSpacing"/>
        <w:numPr>
          <w:ilvl w:val="0"/>
          <w:numId w:val="2"/>
        </w:numPr>
        <w:ind w:left="252" w:hanging="270"/>
        <w:rPr>
          <w:sz w:val="20"/>
          <w:szCs w:val="20"/>
        </w:rPr>
      </w:pPr>
      <w:r w:rsidRPr="00D850F7">
        <w:rPr>
          <w:sz w:val="20"/>
          <w:szCs w:val="20"/>
        </w:rPr>
        <w:t xml:space="preserve">Strategic Priorities Task Force Report </w:t>
      </w:r>
      <w:r w:rsidR="0054389B" w:rsidRPr="00D850F7">
        <w:rPr>
          <w:sz w:val="20"/>
          <w:szCs w:val="20"/>
        </w:rPr>
        <w:t>[http://www.miami.miamioh.edu/documents/spc/SPT_Final_Report.pdf]</w:t>
      </w:r>
    </w:p>
    <w:p w:rsidR="003E42F4" w:rsidRPr="00D850F7" w:rsidRDefault="003E42F4" w:rsidP="00257C1D">
      <w:pPr>
        <w:pStyle w:val="NoSpacing"/>
        <w:numPr>
          <w:ilvl w:val="0"/>
          <w:numId w:val="2"/>
        </w:numPr>
        <w:ind w:left="252" w:hanging="270"/>
        <w:rPr>
          <w:sz w:val="20"/>
          <w:szCs w:val="20"/>
        </w:rPr>
      </w:pPr>
      <w:r w:rsidRPr="00D850F7">
        <w:rPr>
          <w:sz w:val="20"/>
          <w:szCs w:val="20"/>
        </w:rPr>
        <w:t xml:space="preserve">Miami 2020 </w:t>
      </w:r>
      <w:r w:rsidR="00E71CEC" w:rsidRPr="00D850F7">
        <w:rPr>
          <w:sz w:val="20"/>
          <w:szCs w:val="20"/>
        </w:rPr>
        <w:t xml:space="preserve">Plan Goals, Objectives &amp; Metrics </w:t>
      </w:r>
    </w:p>
    <w:p w:rsidR="00062DAA" w:rsidRPr="00D850F7" w:rsidRDefault="00062DAA" w:rsidP="00257C1D">
      <w:pPr>
        <w:pStyle w:val="NoSpacing"/>
        <w:numPr>
          <w:ilvl w:val="0"/>
          <w:numId w:val="2"/>
        </w:numPr>
        <w:ind w:left="252" w:hanging="270"/>
        <w:rPr>
          <w:sz w:val="20"/>
          <w:szCs w:val="20"/>
        </w:rPr>
      </w:pPr>
      <w:r w:rsidRPr="00D850F7">
        <w:rPr>
          <w:sz w:val="20"/>
          <w:szCs w:val="20"/>
        </w:rPr>
        <w:t xml:space="preserve">2013 Presidential Address - </w:t>
      </w:r>
      <w:hyperlink r:id="rId9" w:history="1">
        <w:r w:rsidR="008E228C" w:rsidRPr="00D850F7">
          <w:rPr>
            <w:rStyle w:val="Hyperlink"/>
          </w:rPr>
          <w:t>http://miamioh.edu/about-miami/leadership/president/reports-speeches/annual-address/2013/index.htm</w:t>
        </w:r>
      </w:hyperlink>
    </w:p>
    <w:p w:rsidR="008E228C" w:rsidRPr="00D850F7" w:rsidRDefault="008E228C" w:rsidP="00257C1D">
      <w:pPr>
        <w:pStyle w:val="NoSpacing"/>
        <w:numPr>
          <w:ilvl w:val="0"/>
          <w:numId w:val="2"/>
        </w:numPr>
        <w:ind w:left="252" w:hanging="270"/>
        <w:rPr>
          <w:sz w:val="20"/>
          <w:szCs w:val="20"/>
        </w:rPr>
      </w:pPr>
      <w:r w:rsidRPr="00D850F7">
        <w:t>University Completion Plan</w:t>
      </w:r>
    </w:p>
    <w:p w:rsidR="003E42F4" w:rsidRDefault="003E42F4" w:rsidP="003E42F4">
      <w:pPr>
        <w:pStyle w:val="NoSpacing"/>
        <w:rPr>
          <w:sz w:val="20"/>
          <w:szCs w:val="20"/>
        </w:rPr>
      </w:pPr>
    </w:p>
    <w:p w:rsidR="00A3234C" w:rsidRDefault="00A3234C" w:rsidP="00A3234C">
      <w:pPr>
        <w:pStyle w:val="NoSpacing"/>
        <w:rPr>
          <w:sz w:val="20"/>
          <w:szCs w:val="20"/>
        </w:rPr>
      </w:pPr>
    </w:p>
    <w:p w:rsidR="00A3234C" w:rsidRDefault="00A3234C" w:rsidP="00A3234C">
      <w:pPr>
        <w:pStyle w:val="NoSpacing"/>
        <w:rPr>
          <w:sz w:val="20"/>
          <w:szCs w:val="20"/>
        </w:rPr>
      </w:pPr>
    </w:p>
    <w:p w:rsidR="0032614A" w:rsidRDefault="0032614A">
      <w:pPr>
        <w:rPr>
          <w:b/>
          <w:bCs/>
          <w:spacing w:val="5"/>
          <w:sz w:val="24"/>
          <w:szCs w:val="24"/>
        </w:rPr>
      </w:pPr>
      <w:r>
        <w:br w:type="page"/>
      </w:r>
    </w:p>
    <w:p w:rsidR="00A3234C" w:rsidRPr="00446646" w:rsidRDefault="00A3234C" w:rsidP="00A3234C">
      <w:pPr>
        <w:pStyle w:val="Heading4"/>
        <w:ind w:left="720" w:hanging="720"/>
      </w:pPr>
      <w:r>
        <w:lastRenderedPageBreak/>
        <w:t xml:space="preserve">1.C.     </w:t>
      </w:r>
      <w:r w:rsidRPr="00446646">
        <w:t>The institution understands the relationship between its mission and the diversity of society.</w:t>
      </w:r>
    </w:p>
    <w:p w:rsidR="00A3234C" w:rsidRPr="0061076D" w:rsidRDefault="00A3234C" w:rsidP="00A3234C">
      <w:pPr>
        <w:pStyle w:val="Heading5"/>
        <w:ind w:left="720" w:hanging="720"/>
      </w:pPr>
      <w:r w:rsidRPr="0061076D">
        <w:t xml:space="preserve">1.C.1.   </w:t>
      </w:r>
      <w:r>
        <w:t xml:space="preserve"> </w:t>
      </w:r>
      <w:r w:rsidRPr="0061076D">
        <w:t>The institution addresses its role in a multicultural society.</w:t>
      </w:r>
    </w:p>
    <w:p w:rsidR="00A3234C" w:rsidRDefault="00A3234C" w:rsidP="00A3234C">
      <w:pPr>
        <w:pStyle w:val="Heading5"/>
        <w:ind w:left="720" w:hanging="720"/>
      </w:pPr>
      <w:r w:rsidRPr="0061076D">
        <w:t xml:space="preserve">1.C.2.   </w:t>
      </w:r>
      <w:r>
        <w:t xml:space="preserve"> </w:t>
      </w:r>
      <w:r w:rsidRPr="0061076D">
        <w:t>The institution’s processes and activities reflect attention to human diversity as appropriate within its mission and for the constituencies it serves.</w:t>
      </w:r>
    </w:p>
    <w:p w:rsidR="00A3234C" w:rsidRDefault="00A3234C" w:rsidP="00A3234C">
      <w:pPr>
        <w:pStyle w:val="Heading2"/>
      </w:pPr>
      <w:r>
        <w:t>Narrative</w:t>
      </w:r>
    </w:p>
    <w:p w:rsidR="009230BF" w:rsidRDefault="00A41255" w:rsidP="009230BF">
      <w:r>
        <w:t xml:space="preserve">The </w:t>
      </w:r>
      <w:r w:rsidR="000150B9">
        <w:t>mission</w:t>
      </w:r>
      <w:r w:rsidR="006A5AFD">
        <w:t>, the “I A</w:t>
      </w:r>
      <w:r w:rsidR="009B100C">
        <w:t>m Miami” initiative</w:t>
      </w:r>
      <w:r w:rsidR="00746A40">
        <w:t>,</w:t>
      </w:r>
      <w:r w:rsidR="00027763">
        <w:t xml:space="preserve"> </w:t>
      </w:r>
      <w:r w:rsidR="000150B9">
        <w:t>and</w:t>
      </w:r>
      <w:r w:rsidR="009230BF">
        <w:t xml:space="preserve"> the </w:t>
      </w:r>
      <w:r w:rsidR="00027763">
        <w:t xml:space="preserve">recently approved </w:t>
      </w:r>
      <w:r w:rsidR="009230BF">
        <w:t xml:space="preserve">Miami 2020 Plan </w:t>
      </w:r>
      <w:r w:rsidR="00B61045">
        <w:t xml:space="preserve">all </w:t>
      </w:r>
      <w:r w:rsidR="009230BF">
        <w:t xml:space="preserve">explicitly underscore the significance of diversity and inclusion </w:t>
      </w:r>
      <w:r w:rsidR="000150B9">
        <w:t>as</w:t>
      </w:r>
      <w:r w:rsidR="00B61045">
        <w:t xml:space="preserve"> critical </w:t>
      </w:r>
      <w:r w:rsidR="00027763">
        <w:t>imperative</w:t>
      </w:r>
      <w:r w:rsidR="000150B9">
        <w:t>s</w:t>
      </w:r>
      <w:r w:rsidR="00B61045">
        <w:t xml:space="preserve"> for institutional success</w:t>
      </w:r>
      <w:r w:rsidR="00AA2B2F">
        <w:t>.  The mission statement emphasizes the need “</w:t>
      </w:r>
      <w:r w:rsidR="009230BF">
        <w:t>to cultivate an environment where diversity and differenc</w:t>
      </w:r>
      <w:r w:rsidR="00AA2B2F">
        <w:t>e are a</w:t>
      </w:r>
      <w:r w:rsidR="00746A40">
        <w:t>ppreciate</w:t>
      </w:r>
      <w:r w:rsidR="006A5AFD">
        <w:t>d and respected,” while the “I A</w:t>
      </w:r>
      <w:r w:rsidR="009B100C">
        <w:t>m Miami” Code of Love and Honor</w:t>
      </w:r>
      <w:r w:rsidR="00746A40">
        <w:t xml:space="preserve"> helps to instill a respect for diverse perspectives and a welcoming spirit in students.  T</w:t>
      </w:r>
      <w:r w:rsidR="00AA2B2F">
        <w:t>he second foundational goal in the Miami 2020 Pl</w:t>
      </w:r>
      <w:r w:rsidR="00525805">
        <w:t xml:space="preserve">an </w:t>
      </w:r>
      <w:r w:rsidR="000150B9">
        <w:t>focuses explicitly on diversity and includes four specific objectives</w:t>
      </w:r>
      <w:r w:rsidR="005F3877">
        <w:t>,</w:t>
      </w:r>
      <w:r w:rsidR="00B61045">
        <w:t xml:space="preserve"> each</w:t>
      </w:r>
      <w:r w:rsidR="000150B9">
        <w:t xml:space="preserve"> with measurable metrics:</w:t>
      </w:r>
    </w:p>
    <w:p w:rsidR="0081797F" w:rsidRDefault="00AA2B2F" w:rsidP="000945E2">
      <w:pPr>
        <w:pStyle w:val="ListParagraph"/>
        <w:numPr>
          <w:ilvl w:val="0"/>
          <w:numId w:val="20"/>
        </w:numPr>
      </w:pPr>
      <w:r>
        <w:t>Attract and retain a diverse community of students, faculty, staff, and administrators.</w:t>
      </w:r>
    </w:p>
    <w:p w:rsidR="00AA2B2F" w:rsidRDefault="00525805" w:rsidP="000945E2">
      <w:pPr>
        <w:pStyle w:val="ListParagraph"/>
        <w:numPr>
          <w:ilvl w:val="0"/>
          <w:numId w:val="20"/>
        </w:numPr>
      </w:pPr>
      <w:r>
        <w:t xml:space="preserve">Create an environment where our people live, learn, and work cooperatively with those of widely varied backgrounds, beliefs, abilities, and lifestyles, moving beyond boundaries to welcome, seek, and understand diverse peoples and perspectives. </w:t>
      </w:r>
    </w:p>
    <w:p w:rsidR="00525805" w:rsidRDefault="00525805" w:rsidP="000945E2">
      <w:pPr>
        <w:pStyle w:val="ListParagraph"/>
        <w:numPr>
          <w:ilvl w:val="0"/>
          <w:numId w:val="20"/>
        </w:numPr>
      </w:pPr>
      <w:r>
        <w:t>Achieve cultural competency among members of the Miami community by immersing them in domestically and globally relevant learning experiences.</w:t>
      </w:r>
    </w:p>
    <w:p w:rsidR="00525805" w:rsidRDefault="00525805" w:rsidP="000945E2">
      <w:pPr>
        <w:pStyle w:val="ListParagraph"/>
        <w:numPr>
          <w:ilvl w:val="0"/>
          <w:numId w:val="20"/>
        </w:numPr>
      </w:pPr>
      <w:r>
        <w:t>Expand, virtually and physically, Miami’s global involvement.</w:t>
      </w:r>
    </w:p>
    <w:p w:rsidR="001B1D09" w:rsidRDefault="00CF03BB" w:rsidP="001B1D09">
      <w:r>
        <w:t>All divisions of</w:t>
      </w:r>
      <w:r w:rsidR="00692EDE">
        <w:t xml:space="preserve"> the u</w:t>
      </w:r>
      <w:r w:rsidR="006316E6">
        <w:t xml:space="preserve">niversity </w:t>
      </w:r>
      <w:r w:rsidR="001B1D09">
        <w:t xml:space="preserve">have developed </w:t>
      </w:r>
      <w:r w:rsidR="00EC04BA">
        <w:t xml:space="preserve">plans that include </w:t>
      </w:r>
      <w:r w:rsidR="001B1D09">
        <w:t>specific strategies</w:t>
      </w:r>
      <w:r w:rsidR="00422094">
        <w:t xml:space="preserve"> for meeting these objectives</w:t>
      </w:r>
      <w:r w:rsidR="00707095">
        <w:t xml:space="preserve">, </w:t>
      </w:r>
      <w:r w:rsidR="00B64C99">
        <w:t>are posted publicly on our website</w:t>
      </w:r>
      <w:r w:rsidR="00707095">
        <w:t>,</w:t>
      </w:r>
      <w:r w:rsidR="00B64C99">
        <w:t xml:space="preserve"> and </w:t>
      </w:r>
      <w:r w:rsidR="00EC04BA">
        <w:t xml:space="preserve">will be </w:t>
      </w:r>
      <w:r w:rsidR="00B64C99">
        <w:t>assessed annually.  Departments</w:t>
      </w:r>
      <w:r w:rsidR="006A5AFD">
        <w:t xml:space="preserve"> and other units</w:t>
      </w:r>
      <w:r w:rsidR="00B64C99">
        <w:t xml:space="preserve"> will report on their progress to deans</w:t>
      </w:r>
      <w:r w:rsidR="006A5AFD">
        <w:t xml:space="preserve"> or vice presidents who</w:t>
      </w:r>
      <w:r w:rsidR="00B64C99">
        <w:t xml:space="preserve"> will s</w:t>
      </w:r>
      <w:r w:rsidR="00127417">
        <w:t>ubmit reports each year to the p</w:t>
      </w:r>
      <w:r w:rsidR="006716FC">
        <w:t>rovost</w:t>
      </w:r>
      <w:r w:rsidR="00204DDB">
        <w:t xml:space="preserve"> and president</w:t>
      </w:r>
      <w:r w:rsidR="006716FC">
        <w:t xml:space="preserve">.  The provost </w:t>
      </w:r>
      <w:r w:rsidR="00B64C99">
        <w:t>will present findings</w:t>
      </w:r>
      <w:r w:rsidR="00057395">
        <w:t xml:space="preserve"> annually</w:t>
      </w:r>
      <w:r w:rsidR="00B64C99">
        <w:t xml:space="preserve"> to the Board of Trustees.</w:t>
      </w:r>
    </w:p>
    <w:p w:rsidR="002C7C99" w:rsidRPr="00D62A0F" w:rsidRDefault="00511295" w:rsidP="00D62A0F">
      <w:r w:rsidRPr="00D62A0F">
        <w:t>T</w:t>
      </w:r>
      <w:r w:rsidR="00EC04BA">
        <w:t>o ensure greater success in</w:t>
      </w:r>
      <w:r w:rsidR="00057395">
        <w:t xml:space="preserve"> terms of diversity</w:t>
      </w:r>
      <w:r w:rsidRPr="00D62A0F">
        <w:t xml:space="preserve">, </w:t>
      </w:r>
      <w:r w:rsidR="00354B9C" w:rsidRPr="00D62A0F">
        <w:t xml:space="preserve">in 2013, </w:t>
      </w:r>
      <w:r w:rsidR="00692EDE">
        <w:t>the u</w:t>
      </w:r>
      <w:r w:rsidRPr="00D62A0F">
        <w:t>niversity</w:t>
      </w:r>
      <w:r w:rsidR="00DA16C9" w:rsidRPr="00D62A0F">
        <w:t xml:space="preserve"> created</w:t>
      </w:r>
      <w:r w:rsidR="00B61045">
        <w:t xml:space="preserve"> a new “Office of Global Initiatives” that combines</w:t>
      </w:r>
      <w:r w:rsidR="00DA16C9" w:rsidRPr="00D62A0F">
        <w:t xml:space="preserve"> all </w:t>
      </w:r>
      <w:r w:rsidR="00354B9C" w:rsidRPr="00D62A0F">
        <w:t xml:space="preserve">international </w:t>
      </w:r>
      <w:r w:rsidR="00DA16C9" w:rsidRPr="00D62A0F">
        <w:t>support services</w:t>
      </w:r>
      <w:r w:rsidR="00B61045">
        <w:t xml:space="preserve"> and</w:t>
      </w:r>
      <w:r w:rsidR="00354B9C" w:rsidRPr="00D62A0F">
        <w:t xml:space="preserve"> is led by a new assistant p</w:t>
      </w:r>
      <w:r w:rsidR="00707095">
        <w:t xml:space="preserve">rovost.  </w:t>
      </w:r>
      <w:r w:rsidR="00354B9C" w:rsidRPr="00D62A0F">
        <w:t>Miami also</w:t>
      </w:r>
      <w:r w:rsidR="00DA16C9" w:rsidRPr="00D62A0F">
        <w:t xml:space="preserve"> </w:t>
      </w:r>
      <w:r w:rsidRPr="00D62A0F">
        <w:t>appointed a new associate vice president for institutional diversity in 2</w:t>
      </w:r>
      <w:r w:rsidR="00707095">
        <w:t>009, and the University Multicultural C</w:t>
      </w:r>
      <w:r w:rsidR="00C2453E" w:rsidRPr="00D62A0F">
        <w:t>ouncil</w:t>
      </w:r>
      <w:r w:rsidRPr="00D62A0F">
        <w:t xml:space="preserve"> was reconstituted and renamed the Council on Diversity and Inclusion</w:t>
      </w:r>
      <w:r w:rsidR="00A43D73" w:rsidRPr="00D62A0F">
        <w:t xml:space="preserve"> (CODI)</w:t>
      </w:r>
      <w:r w:rsidR="00C2453E" w:rsidRPr="00D62A0F">
        <w:t xml:space="preserve"> to focus more pointedly on cultivating diversity and inclusion</w:t>
      </w:r>
      <w:r w:rsidRPr="00D62A0F">
        <w:t>.  Each division</w:t>
      </w:r>
      <w:r w:rsidR="00057395">
        <w:t xml:space="preserve"> </w:t>
      </w:r>
      <w:r w:rsidR="00EC04BA">
        <w:t>features a</w:t>
      </w:r>
      <w:r w:rsidR="00C2453E" w:rsidRPr="00D62A0F">
        <w:t xml:space="preserve"> committee and/or administrators</w:t>
      </w:r>
      <w:r w:rsidR="00DA16C9" w:rsidRPr="00D62A0F">
        <w:t xml:space="preserve"> whose charge is to set division-specific</w:t>
      </w:r>
      <w:r w:rsidR="00ED7740">
        <w:t xml:space="preserve"> diversity and international</w:t>
      </w:r>
      <w:r w:rsidR="00DA16C9" w:rsidRPr="00D62A0F">
        <w:t xml:space="preserve"> goals and strategies.  </w:t>
      </w:r>
      <w:r w:rsidR="00FF138F">
        <w:t xml:space="preserve">Following the recommendations of the sexual assault prevention task force, </w:t>
      </w:r>
      <w:r w:rsidR="00707095">
        <w:t xml:space="preserve">a </w:t>
      </w:r>
      <w:r w:rsidR="00FF138F" w:rsidRPr="00D62A0F">
        <w:t>Deputy Title IX Coordinator for Student Sexual Assault</w:t>
      </w:r>
      <w:r w:rsidR="00127417">
        <w:rPr>
          <w:rStyle w:val="apple-converted-space"/>
        </w:rPr>
        <w:t xml:space="preserve"> was </w:t>
      </w:r>
      <w:r w:rsidR="00FF138F" w:rsidRPr="00D62A0F">
        <w:rPr>
          <w:rStyle w:val="apple-converted-space"/>
        </w:rPr>
        <w:t>appointed in 2013.</w:t>
      </w:r>
    </w:p>
    <w:p w:rsidR="00DA16C9" w:rsidRDefault="00DA16C9" w:rsidP="001B1D09">
      <w:r>
        <w:t>Miami boasts a wide array of diversity-related</w:t>
      </w:r>
      <w:r w:rsidR="00555E57">
        <w:t xml:space="preserve"> units and centers focused on diversity and internationalization</w:t>
      </w:r>
      <w:r>
        <w:t>, including:</w:t>
      </w:r>
    </w:p>
    <w:p w:rsidR="0051680B" w:rsidRPr="0051680B" w:rsidRDefault="0051680B" w:rsidP="000945E2">
      <w:pPr>
        <w:pStyle w:val="ListParagraph"/>
        <w:numPr>
          <w:ilvl w:val="0"/>
          <w:numId w:val="27"/>
        </w:numPr>
      </w:pPr>
      <w:r w:rsidRPr="005D2E0D">
        <w:rPr>
          <w:b/>
        </w:rPr>
        <w:t>Miami University Dolibois European Center (MUDEC)</w:t>
      </w:r>
      <w:r w:rsidR="001B42C9">
        <w:t xml:space="preserve"> </w:t>
      </w:r>
      <w:r w:rsidR="005D2E0D">
        <w:t>which is housed in a 15</w:t>
      </w:r>
      <w:r w:rsidR="005D2E0D" w:rsidRPr="005D2E0D">
        <w:rPr>
          <w:vertAlign w:val="superscript"/>
        </w:rPr>
        <w:t>th</w:t>
      </w:r>
      <w:r w:rsidR="005D2E0D">
        <w:t xml:space="preserve"> century château in Differdange, Luxembourg and offers approximately 120 students each semester a combination of academic study, engagement in the local community, and various faculty-guided and independent travel opportunities.  All students live in a</w:t>
      </w:r>
      <w:r w:rsidR="00FF138F">
        <w:t xml:space="preserve"> European homestay arrangement; </w:t>
      </w:r>
      <w:r w:rsidR="005D2E0D">
        <w:t>courses</w:t>
      </w:r>
      <w:r w:rsidR="00E25506">
        <w:t xml:space="preserve"> are focused on Europe, and many</w:t>
      </w:r>
      <w:r w:rsidR="005D2E0D">
        <w:t xml:space="preserve"> are taught by Miami faculty who live at the Center for up to two academic years.</w:t>
      </w:r>
    </w:p>
    <w:p w:rsidR="00354B9C" w:rsidRDefault="00EB4953" w:rsidP="000945E2">
      <w:pPr>
        <w:pStyle w:val="ListParagraph"/>
        <w:numPr>
          <w:ilvl w:val="0"/>
          <w:numId w:val="21"/>
        </w:numPr>
      </w:pPr>
      <w:r>
        <w:rPr>
          <w:b/>
        </w:rPr>
        <w:t xml:space="preserve">Office of </w:t>
      </w:r>
      <w:r w:rsidR="00354B9C" w:rsidRPr="00F003A1">
        <w:rPr>
          <w:b/>
        </w:rPr>
        <w:t>Global Initiatives</w:t>
      </w:r>
      <w:r w:rsidR="009F652B">
        <w:t xml:space="preserve"> which encompasses all </w:t>
      </w:r>
      <w:r w:rsidR="0082013F">
        <w:t>in</w:t>
      </w:r>
      <w:r w:rsidR="00A82A44">
        <w:t>ternationally focused support units</w:t>
      </w:r>
      <w:r w:rsidR="009F652B">
        <w:t>, including</w:t>
      </w:r>
      <w:r w:rsidR="0082013F">
        <w:t>:</w:t>
      </w:r>
    </w:p>
    <w:p w:rsidR="0082013F" w:rsidRPr="00F003A1" w:rsidRDefault="0082013F" w:rsidP="000945E2">
      <w:pPr>
        <w:pStyle w:val="ListParagraph"/>
        <w:numPr>
          <w:ilvl w:val="0"/>
          <w:numId w:val="22"/>
        </w:numPr>
        <w:ind w:left="1080"/>
      </w:pPr>
      <w:r w:rsidRPr="00C251FA">
        <w:rPr>
          <w:i/>
        </w:rPr>
        <w:t>International St</w:t>
      </w:r>
      <w:r w:rsidR="002E2B68">
        <w:rPr>
          <w:i/>
        </w:rPr>
        <w:t xml:space="preserve">udent &amp; Scholars Services </w:t>
      </w:r>
      <w:r w:rsidR="002E2B68">
        <w:t>provides programming and advising</w:t>
      </w:r>
      <w:r w:rsidRPr="00F003A1">
        <w:t xml:space="preserve"> for international students and faculty (immigration and Visa resources, transitional issues, peer mentoring, </w:t>
      </w:r>
      <w:r w:rsidR="002E2B68">
        <w:t xml:space="preserve">social programs, and academic </w:t>
      </w:r>
      <w:r w:rsidRPr="00F003A1">
        <w:t>workshops)</w:t>
      </w:r>
      <w:r w:rsidR="00FF138F">
        <w:t>.</w:t>
      </w:r>
    </w:p>
    <w:p w:rsidR="0082013F" w:rsidRDefault="00FF138F" w:rsidP="000945E2">
      <w:pPr>
        <w:pStyle w:val="ListParagraph"/>
        <w:numPr>
          <w:ilvl w:val="0"/>
          <w:numId w:val="22"/>
        </w:numPr>
        <w:ind w:left="1080"/>
      </w:pPr>
      <w:r>
        <w:rPr>
          <w:i/>
        </w:rPr>
        <w:lastRenderedPageBreak/>
        <w:t xml:space="preserve">Study Abroad Resources </w:t>
      </w:r>
      <w:r>
        <w:t>provides comprehensive information about study abroad to students and departments, advising, and other forms of support, i</w:t>
      </w:r>
      <w:r w:rsidR="00D85F52" w:rsidRPr="00F003A1">
        <w:t>ncluding</w:t>
      </w:r>
      <w:r w:rsidR="00DE1D41">
        <w:t xml:space="preserve"> assessment of study abroad and</w:t>
      </w:r>
      <w:r w:rsidR="002E2B68">
        <w:t xml:space="preserve"> support for faculty-led study abroad program development and operation.</w:t>
      </w:r>
    </w:p>
    <w:p w:rsidR="002E2B68" w:rsidRPr="00F003A1" w:rsidRDefault="002E2B68" w:rsidP="000945E2">
      <w:pPr>
        <w:pStyle w:val="ListParagraph"/>
        <w:numPr>
          <w:ilvl w:val="0"/>
          <w:numId w:val="22"/>
        </w:numPr>
        <w:ind w:left="1080"/>
      </w:pPr>
      <w:r>
        <w:rPr>
          <w:i/>
        </w:rPr>
        <w:t>Miami University Dolibois Europ</w:t>
      </w:r>
      <w:r w:rsidR="00045C4E">
        <w:rPr>
          <w:i/>
        </w:rPr>
        <w:t>ean Center (MUDEC) Oxford</w:t>
      </w:r>
      <w:r>
        <w:rPr>
          <w:i/>
        </w:rPr>
        <w:t xml:space="preserve"> </w:t>
      </w:r>
      <w:r w:rsidRPr="00045C4E">
        <w:t xml:space="preserve">supports the Luxembourg campus through student recruiting and advising, and support </w:t>
      </w:r>
      <w:r w:rsidR="00045C4E" w:rsidRPr="00045C4E">
        <w:t>for faculty in transitioning to MUDEC</w:t>
      </w:r>
      <w:r w:rsidR="00045C4E">
        <w:rPr>
          <w:i/>
        </w:rPr>
        <w:t>.</w:t>
      </w:r>
    </w:p>
    <w:p w:rsidR="0082013F" w:rsidRPr="00F003A1" w:rsidRDefault="0082013F" w:rsidP="000945E2">
      <w:pPr>
        <w:pStyle w:val="ListParagraph"/>
        <w:numPr>
          <w:ilvl w:val="0"/>
          <w:numId w:val="22"/>
        </w:numPr>
        <w:ind w:left="1080"/>
      </w:pPr>
      <w:r w:rsidRPr="00C251FA">
        <w:rPr>
          <w:i/>
        </w:rPr>
        <w:t>Global Assistance Program</w:t>
      </w:r>
      <w:r w:rsidR="00D85F52" w:rsidRPr="00C251FA">
        <w:rPr>
          <w:i/>
        </w:rPr>
        <w:t xml:space="preserve"> (MU-GAP)</w:t>
      </w:r>
      <w:r w:rsidR="00DE1D41">
        <w:t xml:space="preserve"> </w:t>
      </w:r>
      <w:r w:rsidR="00D85F52" w:rsidRPr="00F003A1">
        <w:t>supports travelers in a well-coordinated, collaborative effort, with experts from within the university, as well as contracted providers, and specialists in the field (crisis management, travel coordination</w:t>
      </w:r>
      <w:r w:rsidR="00F003A1" w:rsidRPr="00F003A1">
        <w:t>, passport services</w:t>
      </w:r>
      <w:r w:rsidR="00D85F52" w:rsidRPr="00F003A1">
        <w:t>)</w:t>
      </w:r>
      <w:r w:rsidR="00DE1D41">
        <w:t>.</w:t>
      </w:r>
    </w:p>
    <w:p w:rsidR="00DA16C9" w:rsidRPr="00F003A1" w:rsidRDefault="00DA16C9" w:rsidP="000945E2">
      <w:pPr>
        <w:pStyle w:val="ListParagraph"/>
        <w:numPr>
          <w:ilvl w:val="0"/>
          <w:numId w:val="22"/>
        </w:numPr>
        <w:ind w:left="1080"/>
      </w:pPr>
      <w:r w:rsidRPr="00C251FA">
        <w:rPr>
          <w:i/>
        </w:rPr>
        <w:t>Center for American &amp; World Cultures</w:t>
      </w:r>
      <w:r w:rsidR="00DE1D41">
        <w:t xml:space="preserve"> </w:t>
      </w:r>
      <w:r w:rsidR="00D85F52" w:rsidRPr="00F003A1">
        <w:t>provides courses, events</w:t>
      </w:r>
      <w:r w:rsidR="00057395">
        <w:t>,</w:t>
      </w:r>
      <w:r w:rsidR="00D85F52" w:rsidRPr="00F003A1">
        <w:t xml:space="preserve"> and other programs to advance understanding of other cultures</w:t>
      </w:r>
      <w:r w:rsidR="00045C4E">
        <w:t>, including pre- and post-study abroad courses</w:t>
      </w:r>
      <w:r w:rsidR="00D85F52" w:rsidRPr="00F003A1">
        <w:t>.</w:t>
      </w:r>
    </w:p>
    <w:p w:rsidR="00D85F52" w:rsidRPr="00F003A1" w:rsidRDefault="00D85F52" w:rsidP="000945E2">
      <w:pPr>
        <w:pStyle w:val="ListParagraph"/>
        <w:numPr>
          <w:ilvl w:val="0"/>
          <w:numId w:val="22"/>
        </w:numPr>
        <w:ind w:left="1080"/>
      </w:pPr>
      <w:r w:rsidRPr="00C251FA">
        <w:rPr>
          <w:i/>
        </w:rPr>
        <w:t>The Confucius Institute</w:t>
      </w:r>
      <w:r w:rsidRPr="00F003A1">
        <w:t xml:space="preserve"> serves as a platform for the internationalizati</w:t>
      </w:r>
      <w:r w:rsidR="00F003A1" w:rsidRPr="00F003A1">
        <w:t xml:space="preserve">on of current and future Miami students and </w:t>
      </w:r>
      <w:r w:rsidRPr="00F003A1">
        <w:t>fosters an attitude of globalization and eagerness to study the Chinese language and culture.  In addition, the Institute operates as a hos</w:t>
      </w:r>
      <w:r w:rsidR="00A82A44">
        <w:t xml:space="preserve">t outreach program, helping the MU </w:t>
      </w:r>
      <w:r w:rsidR="00DC1DC1">
        <w:t xml:space="preserve">community and the state of </w:t>
      </w:r>
      <w:r w:rsidR="00057395">
        <w:t xml:space="preserve">Ohio </w:t>
      </w:r>
      <w:r w:rsidRPr="00F003A1">
        <w:t xml:space="preserve">adapt to the changing global economy.  </w:t>
      </w:r>
    </w:p>
    <w:p w:rsidR="00123BB0" w:rsidRDefault="00123BB0" w:rsidP="000945E2">
      <w:pPr>
        <w:pStyle w:val="ListParagraph"/>
        <w:numPr>
          <w:ilvl w:val="0"/>
          <w:numId w:val="25"/>
        </w:numPr>
      </w:pPr>
      <w:r w:rsidRPr="00123BB0">
        <w:rPr>
          <w:b/>
        </w:rPr>
        <w:t>Office of Diversity Affairs</w:t>
      </w:r>
      <w:r w:rsidRPr="00123BB0">
        <w:t xml:space="preserve"> </w:t>
      </w:r>
      <w:r>
        <w:t xml:space="preserve">which is located in the Armstrong Student Center and </w:t>
      </w:r>
      <w:r w:rsidRPr="00123BB0">
        <w:t xml:space="preserve">offers direct support to diverse </w:t>
      </w:r>
      <w:r w:rsidR="005D3DEE">
        <w:t xml:space="preserve">student </w:t>
      </w:r>
      <w:r w:rsidRPr="00123BB0">
        <w:t>populations</w:t>
      </w:r>
      <w:r w:rsidR="00483112">
        <w:t xml:space="preserve"> (including GLBTQ students)</w:t>
      </w:r>
      <w:r w:rsidRPr="00123BB0">
        <w:t>, social justice through diversity education, and multicultural programming and campus resources on issues of diversity.</w:t>
      </w:r>
    </w:p>
    <w:p w:rsidR="00123BB0" w:rsidRPr="00123BB0" w:rsidRDefault="00123BB0" w:rsidP="000945E2">
      <w:pPr>
        <w:pStyle w:val="ListParagraph"/>
        <w:numPr>
          <w:ilvl w:val="0"/>
          <w:numId w:val="24"/>
        </w:numPr>
      </w:pPr>
      <w:r w:rsidRPr="00123BB0">
        <w:rPr>
          <w:b/>
          <w:shd w:val="clear" w:color="auto" w:fill="FFFFFF"/>
        </w:rPr>
        <w:t>Office of Diversity and Multicultural Services</w:t>
      </w:r>
      <w:r w:rsidRPr="00123BB0">
        <w:rPr>
          <w:shd w:val="clear" w:color="auto" w:fill="FFFFFF"/>
        </w:rPr>
        <w:t xml:space="preserve"> which is </w:t>
      </w:r>
      <w:r>
        <w:rPr>
          <w:shd w:val="clear" w:color="auto" w:fill="FFFFFF"/>
        </w:rPr>
        <w:t xml:space="preserve">located on the regional campuses and </w:t>
      </w:r>
      <w:r w:rsidRPr="00123BB0">
        <w:rPr>
          <w:shd w:val="clear" w:color="auto" w:fill="FFFFFF"/>
        </w:rPr>
        <w:t>dedicated to providing a supportive atmosphere for students, faculty, staff, and local community memb</w:t>
      </w:r>
      <w:r w:rsidR="00DC1DC1">
        <w:rPr>
          <w:shd w:val="clear" w:color="auto" w:fill="FFFFFF"/>
        </w:rPr>
        <w:t>ers of diverse backgrounds (e.g.,</w:t>
      </w:r>
      <w:r w:rsidRPr="00123BB0">
        <w:rPr>
          <w:shd w:val="clear" w:color="auto" w:fill="FFFFFF"/>
        </w:rPr>
        <w:t>, racial/ethnic, gender, age, international, ability level, economic, sexual orientation, r</w:t>
      </w:r>
      <w:r w:rsidR="00DC1DC1">
        <w:rPr>
          <w:shd w:val="clear" w:color="auto" w:fill="FFFFFF"/>
        </w:rPr>
        <w:t>eligion/spirituality</w:t>
      </w:r>
      <w:r w:rsidR="00AC7B02">
        <w:rPr>
          <w:shd w:val="clear" w:color="auto" w:fill="FFFFFF"/>
        </w:rPr>
        <w:t>).  It</w:t>
      </w:r>
      <w:r w:rsidRPr="00123BB0">
        <w:rPr>
          <w:shd w:val="clear" w:color="auto" w:fill="FFFFFF"/>
        </w:rPr>
        <w:t xml:space="preserve"> offer</w:t>
      </w:r>
      <w:r w:rsidR="00AC7B02">
        <w:rPr>
          <w:shd w:val="clear" w:color="auto" w:fill="FFFFFF"/>
        </w:rPr>
        <w:t>s</w:t>
      </w:r>
      <w:r w:rsidRPr="00123BB0">
        <w:rPr>
          <w:shd w:val="clear" w:color="auto" w:fill="FFFFFF"/>
        </w:rPr>
        <w:t xml:space="preserve"> cultural communication, programming, mentoring, workshops, as well as leadership and community service projects that educate and engage the campus and local communities in diversity related issues.</w:t>
      </w:r>
    </w:p>
    <w:p w:rsidR="00DA16C9" w:rsidRDefault="00DA16C9" w:rsidP="000945E2">
      <w:pPr>
        <w:pStyle w:val="ListParagraph"/>
        <w:numPr>
          <w:ilvl w:val="0"/>
          <w:numId w:val="23"/>
        </w:numPr>
      </w:pPr>
      <w:r w:rsidRPr="00123BB0">
        <w:rPr>
          <w:b/>
        </w:rPr>
        <w:t>Women’s Center</w:t>
      </w:r>
      <w:r w:rsidR="00F003A1">
        <w:t xml:space="preserve"> which </w:t>
      </w:r>
      <w:r w:rsidR="00F003A1" w:rsidRPr="00123BB0">
        <w:rPr>
          <w:shd w:val="clear" w:color="auto" w:fill="FFFFFF"/>
        </w:rPr>
        <w:t>exists to support and empower women, educate the campus abou</w:t>
      </w:r>
      <w:r w:rsidR="00692EDE">
        <w:rPr>
          <w:shd w:val="clear" w:color="auto" w:fill="FFFFFF"/>
        </w:rPr>
        <w:t>t women's issues, and help the u</w:t>
      </w:r>
      <w:r w:rsidR="00F003A1" w:rsidRPr="00123BB0">
        <w:rPr>
          <w:shd w:val="clear" w:color="auto" w:fill="FFFFFF"/>
        </w:rPr>
        <w:t>niversity achieve positive institutional change related to gender equity.</w:t>
      </w:r>
      <w:r w:rsidR="00F003A1" w:rsidRPr="00123BB0">
        <w:rPr>
          <w:rStyle w:val="apple-converted-space"/>
          <w:rFonts w:ascii="Helvetica" w:hAnsi="Helvetica" w:cs="Helvetica"/>
          <w:color w:val="000000"/>
          <w:sz w:val="18"/>
          <w:szCs w:val="18"/>
          <w:shd w:val="clear" w:color="auto" w:fill="FFFFFF"/>
        </w:rPr>
        <w:t> </w:t>
      </w:r>
    </w:p>
    <w:p w:rsidR="00E276B6" w:rsidRDefault="00555E57" w:rsidP="000945E2">
      <w:pPr>
        <w:pStyle w:val="ListParagraph"/>
        <w:numPr>
          <w:ilvl w:val="0"/>
          <w:numId w:val="21"/>
        </w:numPr>
      </w:pPr>
      <w:r w:rsidRPr="00F4163F">
        <w:rPr>
          <w:b/>
        </w:rPr>
        <w:t xml:space="preserve">American Culture and </w:t>
      </w:r>
      <w:r w:rsidR="00E276B6" w:rsidRPr="00F4163F">
        <w:rPr>
          <w:b/>
        </w:rPr>
        <w:t>E</w:t>
      </w:r>
      <w:r w:rsidRPr="00F4163F">
        <w:rPr>
          <w:b/>
        </w:rPr>
        <w:t>nglish (ACE)</w:t>
      </w:r>
      <w:r w:rsidR="00E276B6" w:rsidRPr="00F4163F">
        <w:rPr>
          <w:b/>
        </w:rPr>
        <w:t xml:space="preserve"> Program</w:t>
      </w:r>
      <w:r w:rsidR="00E25506">
        <w:t xml:space="preserve"> which is an intensive, non-credit, </w:t>
      </w:r>
      <w:r w:rsidR="00D76CB2">
        <w:t>semester-long program for</w:t>
      </w:r>
      <w:r>
        <w:t xml:space="preserve"> </w:t>
      </w:r>
      <w:r w:rsidR="00F4163F">
        <w:t>conditionally admitted students on the Oxford campus who need to improve their language skills and cultural understanding</w:t>
      </w:r>
      <w:r w:rsidR="00DC1DC1">
        <w:t>.</w:t>
      </w:r>
    </w:p>
    <w:p w:rsidR="00EA2704" w:rsidRPr="00EA2704" w:rsidRDefault="00E276B6" w:rsidP="000945E2">
      <w:pPr>
        <w:pStyle w:val="ListParagraph"/>
        <w:numPr>
          <w:ilvl w:val="0"/>
          <w:numId w:val="21"/>
        </w:numPr>
        <w:rPr>
          <w:rStyle w:val="NoSpacingChar"/>
        </w:rPr>
      </w:pPr>
      <w:r w:rsidRPr="00EA2704">
        <w:rPr>
          <w:b/>
        </w:rPr>
        <w:t>E</w:t>
      </w:r>
      <w:r w:rsidR="00555E57" w:rsidRPr="00EA2704">
        <w:rPr>
          <w:b/>
        </w:rPr>
        <w:t xml:space="preserve">nglish </w:t>
      </w:r>
      <w:r w:rsidRPr="00EA2704">
        <w:rPr>
          <w:b/>
        </w:rPr>
        <w:t>L</w:t>
      </w:r>
      <w:r w:rsidR="00555E57" w:rsidRPr="00EA2704">
        <w:rPr>
          <w:b/>
        </w:rPr>
        <w:t xml:space="preserve">anguage &amp; </w:t>
      </w:r>
      <w:r w:rsidRPr="00EA2704">
        <w:rPr>
          <w:b/>
        </w:rPr>
        <w:t>C</w:t>
      </w:r>
      <w:r w:rsidR="00555E57" w:rsidRPr="00EA2704">
        <w:rPr>
          <w:b/>
        </w:rPr>
        <w:t>ulture</w:t>
      </w:r>
      <w:r w:rsidR="00F4163F" w:rsidRPr="00EA2704">
        <w:rPr>
          <w:b/>
        </w:rPr>
        <w:t xml:space="preserve"> (ELC) Program</w:t>
      </w:r>
      <w:r w:rsidR="00F4163F">
        <w:t xml:space="preserve"> </w:t>
      </w:r>
      <w:r w:rsidR="00F4163F" w:rsidRPr="00EA2704">
        <w:rPr>
          <w:rStyle w:val="NoSpacingChar"/>
        </w:rPr>
        <w:t>whic</w:t>
      </w:r>
      <w:r w:rsidR="0053593D">
        <w:rPr>
          <w:rStyle w:val="NoSpacingChar"/>
        </w:rPr>
        <w:t>h, like</w:t>
      </w:r>
      <w:r w:rsidR="00EA2704">
        <w:rPr>
          <w:rStyle w:val="NoSpacingChar"/>
        </w:rPr>
        <w:t xml:space="preserve"> the ACE Program</w:t>
      </w:r>
      <w:r w:rsidR="0053593D">
        <w:rPr>
          <w:rStyle w:val="NoSpacingChar"/>
        </w:rPr>
        <w:t xml:space="preserve">, </w:t>
      </w:r>
      <w:r w:rsidR="00EA2704" w:rsidRPr="00EA2704">
        <w:rPr>
          <w:rStyle w:val="NoSpacingChar"/>
        </w:rPr>
        <w:t>provide</w:t>
      </w:r>
      <w:r w:rsidR="0053593D">
        <w:rPr>
          <w:rStyle w:val="NoSpacingChar"/>
        </w:rPr>
        <w:t>s</w:t>
      </w:r>
      <w:r w:rsidR="00EA2704" w:rsidRPr="00EA2704">
        <w:rPr>
          <w:rStyle w:val="NoSpacingChar"/>
        </w:rPr>
        <w:t xml:space="preserve"> full-time intensive</w:t>
      </w:r>
      <w:r w:rsidR="0053593D">
        <w:rPr>
          <w:rStyle w:val="NoSpacingChar"/>
        </w:rPr>
        <w:t>, and noncredit</w:t>
      </w:r>
      <w:r w:rsidR="00EA2704" w:rsidRPr="00EA2704">
        <w:rPr>
          <w:rStyle w:val="NoSpacingChar"/>
        </w:rPr>
        <w:t xml:space="preserve"> English language instruction and prepare students for full</w:t>
      </w:r>
      <w:r w:rsidR="00EA2704">
        <w:rPr>
          <w:rStyle w:val="NoSpacingChar"/>
        </w:rPr>
        <w:t xml:space="preserve"> admittance to the </w:t>
      </w:r>
      <w:r w:rsidR="00EA2704" w:rsidRPr="00EA2704">
        <w:rPr>
          <w:rStyle w:val="NoSpacingChar"/>
        </w:rPr>
        <w:t>Middletown</w:t>
      </w:r>
      <w:r w:rsidR="00EA2704">
        <w:rPr>
          <w:rStyle w:val="NoSpacingChar"/>
        </w:rPr>
        <w:t xml:space="preserve"> campus</w:t>
      </w:r>
      <w:r w:rsidR="00EA2704" w:rsidRPr="00EA2704">
        <w:rPr>
          <w:rStyle w:val="NoSpacingChar"/>
        </w:rPr>
        <w:t xml:space="preserve">. </w:t>
      </w:r>
    </w:p>
    <w:p w:rsidR="00E666F0" w:rsidRDefault="00D076AC" w:rsidP="000945E2">
      <w:pPr>
        <w:pStyle w:val="ListParagraph"/>
        <w:numPr>
          <w:ilvl w:val="0"/>
          <w:numId w:val="21"/>
        </w:numPr>
      </w:pPr>
      <w:r w:rsidRPr="00EA2704">
        <w:rPr>
          <w:b/>
        </w:rPr>
        <w:t xml:space="preserve">Over-the-Rhine </w:t>
      </w:r>
      <w:r w:rsidR="00E666F0" w:rsidRPr="00EA2704">
        <w:rPr>
          <w:b/>
        </w:rPr>
        <w:t xml:space="preserve">Residency </w:t>
      </w:r>
      <w:r w:rsidRPr="00EA2704">
        <w:rPr>
          <w:b/>
        </w:rPr>
        <w:t>Program</w:t>
      </w:r>
      <w:r w:rsidR="00E666F0">
        <w:t xml:space="preserve"> which offers students from a variety of majors a full immersion</w:t>
      </w:r>
      <w:r w:rsidR="00561ACC">
        <w:t xml:space="preserve"> and semester-long </w:t>
      </w:r>
      <w:r w:rsidR="00E666F0">
        <w:t>academic and community servi</w:t>
      </w:r>
      <w:r w:rsidR="00561ACC">
        <w:t xml:space="preserve">ce experience </w:t>
      </w:r>
      <w:r w:rsidR="00E666F0">
        <w:t xml:space="preserve">in the inner city Cincinnati neighborhood of Over-the-Rhine.  </w:t>
      </w:r>
    </w:p>
    <w:p w:rsidR="00561ACC" w:rsidRDefault="00561ACC" w:rsidP="000945E2">
      <w:pPr>
        <w:pStyle w:val="ListParagraph"/>
        <w:numPr>
          <w:ilvl w:val="0"/>
          <w:numId w:val="21"/>
        </w:numPr>
      </w:pPr>
      <w:r w:rsidRPr="00422094">
        <w:rPr>
          <w:b/>
        </w:rPr>
        <w:t>Urban Leadership Internship Program</w:t>
      </w:r>
      <w:r>
        <w:t xml:space="preserve"> which provides students a summer </w:t>
      </w:r>
      <w:r w:rsidR="00422094">
        <w:t>internship and service-learning for students in one of several urban areas, including Chicago, Dayton, Columbus</w:t>
      </w:r>
      <w:r w:rsidR="00DC1DC1">
        <w:t>,</w:t>
      </w:r>
      <w:r w:rsidR="00422094">
        <w:t xml:space="preserve"> and Cincinnati.</w:t>
      </w:r>
    </w:p>
    <w:p w:rsidR="009746B2" w:rsidRDefault="009746B2" w:rsidP="000945E2">
      <w:pPr>
        <w:pStyle w:val="ListParagraph"/>
        <w:numPr>
          <w:ilvl w:val="0"/>
          <w:numId w:val="21"/>
        </w:numPr>
      </w:pPr>
      <w:r>
        <w:rPr>
          <w:b/>
        </w:rPr>
        <w:t xml:space="preserve">Center for Enhancement of Learning, Teaching &amp; University Assessment (CELTUA) </w:t>
      </w:r>
      <w:r w:rsidRPr="009746B2">
        <w:t>which offers faculty development on teaching across cultures.</w:t>
      </w:r>
    </w:p>
    <w:p w:rsidR="005517FD" w:rsidRDefault="005517FD" w:rsidP="000945E2">
      <w:pPr>
        <w:pStyle w:val="ListParagraph"/>
        <w:numPr>
          <w:ilvl w:val="0"/>
          <w:numId w:val="21"/>
        </w:numPr>
      </w:pPr>
      <w:r>
        <w:rPr>
          <w:b/>
        </w:rPr>
        <w:t xml:space="preserve">Havighurst Center for Russian and Post-Soviet Studies </w:t>
      </w:r>
      <w:r w:rsidRPr="00684048">
        <w:t>which is dedicated to research by Miami faculty with other scholars from Russia, Eastern Europe</w:t>
      </w:r>
      <w:r w:rsidR="009B4B99">
        <w:t>,</w:t>
      </w:r>
      <w:r w:rsidRPr="00684048">
        <w:t xml:space="preserve"> and Eurasia, and from other American universities; to service and learning activities that provide a greater understanding of this region for the student community; and to programs designed to foster interdisciplinary research on the most important questions relating to the future of this area.</w:t>
      </w:r>
    </w:p>
    <w:p w:rsidR="009746B2" w:rsidRPr="00B66AC8" w:rsidRDefault="009746B2" w:rsidP="000945E2">
      <w:pPr>
        <w:pStyle w:val="ListParagraph"/>
        <w:numPr>
          <w:ilvl w:val="0"/>
          <w:numId w:val="21"/>
        </w:numPr>
      </w:pPr>
      <w:r>
        <w:rPr>
          <w:b/>
        </w:rPr>
        <w:t xml:space="preserve">Interdisciplinary programs focusing on global and intercultural </w:t>
      </w:r>
      <w:r w:rsidR="001F4F79">
        <w:rPr>
          <w:b/>
        </w:rPr>
        <w:t xml:space="preserve">understanding </w:t>
      </w:r>
      <w:r w:rsidR="00B66AC8" w:rsidRPr="00B66AC8">
        <w:t xml:space="preserve">such as </w:t>
      </w:r>
      <w:r w:rsidR="00DE6E2A">
        <w:t xml:space="preserve">International Studies, </w:t>
      </w:r>
      <w:r w:rsidR="00B66AC8" w:rsidRPr="00B66AC8">
        <w:t>Women’</w:t>
      </w:r>
      <w:r w:rsidR="00DE6E2A">
        <w:t>s, Gender &amp; Sexuality Studies;</w:t>
      </w:r>
      <w:r w:rsidR="00B66AC8" w:rsidRPr="00B66AC8">
        <w:t xml:space="preserve"> Latin American</w:t>
      </w:r>
      <w:r w:rsidR="00BF0BD3">
        <w:t>, Latino/a</w:t>
      </w:r>
      <w:r w:rsidR="00DE6E2A">
        <w:t xml:space="preserve"> &amp; Caribbean Studies;</w:t>
      </w:r>
      <w:r w:rsidR="00B66AC8" w:rsidRPr="00B66AC8">
        <w:t xml:space="preserve"> Black World Studies, and Asian &amp; Asian American Studies </w:t>
      </w:r>
      <w:r w:rsidR="001F4F79" w:rsidRPr="00B66AC8">
        <w:t>are also offered at Miami.</w:t>
      </w:r>
    </w:p>
    <w:p w:rsidR="00204DDB" w:rsidRDefault="00123BB0" w:rsidP="001B1D09">
      <w:r>
        <w:lastRenderedPageBreak/>
        <w:t>In addition to the offices</w:t>
      </w:r>
      <w:r w:rsidR="00422094">
        <w:t>, centers, and programs</w:t>
      </w:r>
      <w:r w:rsidR="00692EDE">
        <w:t xml:space="preserve"> listed above, the u</w:t>
      </w:r>
      <w:r>
        <w:t xml:space="preserve">niversity </w:t>
      </w:r>
      <w:r w:rsidR="00ED7740">
        <w:t>has integrated global and intercultural learning into its curriculum</w:t>
      </w:r>
      <w:r w:rsidR="009B4B99">
        <w:t>.  I</w:t>
      </w:r>
      <w:r w:rsidR="00DE1D41">
        <w:t xml:space="preserve">n </w:t>
      </w:r>
      <w:r w:rsidR="00290A45">
        <w:t>t</w:t>
      </w:r>
      <w:r w:rsidR="00ED7740">
        <w:t>he newly app</w:t>
      </w:r>
      <w:r w:rsidR="009B4B99">
        <w:t>roved Global Miami Plan,</w:t>
      </w:r>
      <w:r w:rsidR="00290A45">
        <w:t xml:space="preserve"> students will be required to complete</w:t>
      </w:r>
      <w:r w:rsidR="00ED7740">
        <w:t xml:space="preserve"> </w:t>
      </w:r>
      <w:r w:rsidR="00290A45">
        <w:t xml:space="preserve">global and intercultural courses as well as meet an experiential learning requirement.  </w:t>
      </w:r>
      <w:r w:rsidR="00EB4953">
        <w:t>In 2014, the summer reading book selected was</w:t>
      </w:r>
      <w:r w:rsidR="00DE1D41">
        <w:t xml:space="preserve"> Bruce Watson’s</w:t>
      </w:r>
      <w:r w:rsidR="00EB4953">
        <w:t xml:space="preserve"> </w:t>
      </w:r>
      <w:r w:rsidR="00EB4953" w:rsidRPr="00DE1D41">
        <w:rPr>
          <w:i/>
        </w:rPr>
        <w:t>F</w:t>
      </w:r>
      <w:r w:rsidR="00511362" w:rsidRPr="00DE1D41">
        <w:rPr>
          <w:i/>
        </w:rPr>
        <w:t>reedom Summer</w:t>
      </w:r>
      <w:r w:rsidR="00511362">
        <w:t xml:space="preserve"> to commemorate the 50</w:t>
      </w:r>
      <w:r w:rsidR="00511362" w:rsidRPr="00511362">
        <w:rPr>
          <w:vertAlign w:val="superscript"/>
        </w:rPr>
        <w:t>th</w:t>
      </w:r>
      <w:r w:rsidR="00511362">
        <w:t xml:space="preserve"> anniversary of the heroic work of the freedom summer volunteers who were trained on the </w:t>
      </w:r>
      <w:r w:rsidR="009F652B">
        <w:t xml:space="preserve">site of the </w:t>
      </w:r>
      <w:r w:rsidR="00511362">
        <w:t>Western campus of Miami University.  During the 2014-2015 academic year, Miami</w:t>
      </w:r>
      <w:r w:rsidR="00204DDB">
        <w:t xml:space="preserve"> engaged in a year-long series of events, “Celebrating Freedom: Understanding the Past, Building the Future,” that provided an opportunity for students, staff, and faculty to reflect on the progress made and the efforts yet to come in the United States and globally to ensure the freedom and dignity of all peoples.</w:t>
      </w:r>
    </w:p>
    <w:p w:rsidR="008B70FE" w:rsidRDefault="00511362" w:rsidP="001B1D09">
      <w:r>
        <w:t xml:space="preserve"> </w:t>
      </w:r>
      <w:r w:rsidR="00290A45">
        <w:t xml:space="preserve">The Farmer School of Business as well as the College of Education, </w:t>
      </w:r>
      <w:r w:rsidR="00DE1D41">
        <w:t xml:space="preserve">Health, and Society require </w:t>
      </w:r>
      <w:r w:rsidR="00290A45">
        <w:t xml:space="preserve">students in their divisions to complete a diversity-oriented course, and the College of Arts &amp; Science has a foreign language requirement.  </w:t>
      </w:r>
      <w:r w:rsidR="00642B2A">
        <w:t xml:space="preserve">Within the past ten years, several diversity-related degree and certificate programs (e.g., </w:t>
      </w:r>
      <w:r w:rsidR="004A7DFB">
        <w:t>social justice</w:t>
      </w:r>
      <w:r w:rsidR="00C62FD4">
        <w:t xml:space="preserve"> major</w:t>
      </w:r>
      <w:r w:rsidR="004A7DFB">
        <w:t>, China business</w:t>
      </w:r>
      <w:r w:rsidR="00C62FD4">
        <w:t xml:space="preserve"> certificate</w:t>
      </w:r>
      <w:r w:rsidR="004A7DFB">
        <w:t>, cr</w:t>
      </w:r>
      <w:r w:rsidR="0046159A">
        <w:t>itical and classical languages</w:t>
      </w:r>
      <w:r w:rsidR="00C62FD4">
        <w:t xml:space="preserve"> &amp; cultures co-major</w:t>
      </w:r>
      <w:r w:rsidR="0046159A">
        <w:t xml:space="preserve">) have emerged.  </w:t>
      </w:r>
    </w:p>
    <w:p w:rsidR="006B70FA" w:rsidRDefault="006B70FA" w:rsidP="001B1D09">
      <w:r>
        <w:t>Miami also has a</w:t>
      </w:r>
      <w:r w:rsidR="00A04720">
        <w:t xml:space="preserve"> </w:t>
      </w:r>
      <w:r>
        <w:t>numb</w:t>
      </w:r>
      <w:r w:rsidR="00A04720">
        <w:t>er of student</w:t>
      </w:r>
      <w:r>
        <w:t xml:space="preserve"> organizations representing diversity on campus, including </w:t>
      </w:r>
      <w:r w:rsidR="008B70FE">
        <w:t xml:space="preserve">the Diversity Affairs Council (that is associated with Associated Student Government), </w:t>
      </w:r>
      <w:r>
        <w:t>Asian American Association, Black Student Action Association, Hillel, Indian Students Association, Association of Latin American Students, Muslim Students Association, Native American Stude</w:t>
      </w:r>
      <w:r w:rsidR="003B0015">
        <w:t>nt Association, and Spectrum (GL</w:t>
      </w:r>
      <w:r>
        <w:t>BTQ).</w:t>
      </w:r>
      <w:r w:rsidR="00A04720">
        <w:t xml:space="preserve"> </w:t>
      </w:r>
      <w:r w:rsidR="008B70FE">
        <w:t xml:space="preserve">In addition to the student organizations, there </w:t>
      </w:r>
      <w:r w:rsidR="00117E4A">
        <w:t>are</w:t>
      </w:r>
      <w:r w:rsidR="00A04720">
        <w:t xml:space="preserve"> a number of offices and organ</w:t>
      </w:r>
      <w:r w:rsidR="001F0B8C">
        <w:t>izations for</w:t>
      </w:r>
      <w:r w:rsidR="00117E4A">
        <w:t xml:space="preserve"> diverse</w:t>
      </w:r>
      <w:r w:rsidR="001F0B8C">
        <w:t xml:space="preserve"> faculty and staff</w:t>
      </w:r>
      <w:r w:rsidR="00A04720">
        <w:t>.</w:t>
      </w:r>
    </w:p>
    <w:p w:rsidR="00DA16C9" w:rsidRDefault="0007212C" w:rsidP="001B1D09">
      <w:r>
        <w:t>Some</w:t>
      </w:r>
      <w:r w:rsidR="00567BC0">
        <w:t xml:space="preserve"> of the major recent initiatives that</w:t>
      </w:r>
      <w:r w:rsidR="009B2D59">
        <w:t xml:space="preserve"> are designed to foster a welcoming and inclusive environment and global/intercultural understanding</w:t>
      </w:r>
      <w:r w:rsidR="00567BC0">
        <w:t xml:space="preserve"> are</w:t>
      </w:r>
      <w:r>
        <w:t>:</w:t>
      </w:r>
    </w:p>
    <w:p w:rsidR="0007212C" w:rsidRDefault="0007212C" w:rsidP="000945E2">
      <w:pPr>
        <w:pStyle w:val="ListParagraph"/>
        <w:numPr>
          <w:ilvl w:val="0"/>
          <w:numId w:val="26"/>
        </w:numPr>
      </w:pPr>
      <w:r w:rsidRPr="00B67EE6">
        <w:rPr>
          <w:b/>
        </w:rPr>
        <w:t>Safe Zone Training</w:t>
      </w:r>
      <w:r w:rsidR="001F0B8C">
        <w:rPr>
          <w:b/>
        </w:rPr>
        <w:t>, established in 2009,</w:t>
      </w:r>
      <w:r w:rsidR="00483112">
        <w:t xml:space="preserve"> is</w:t>
      </w:r>
      <w:r w:rsidR="00B67EE6">
        <w:t xml:space="preserve"> </w:t>
      </w:r>
      <w:r w:rsidR="00483112" w:rsidRPr="00483112">
        <w:rPr>
          <w:shd w:val="clear" w:color="auto" w:fill="FFFFFF"/>
        </w:rPr>
        <w:t xml:space="preserve">a collaborative training effort </w:t>
      </w:r>
      <w:r w:rsidR="00483112">
        <w:rPr>
          <w:shd w:val="clear" w:color="auto" w:fill="FFFFFF"/>
        </w:rPr>
        <w:t>led by the Office of Diversity Affairs that engages</w:t>
      </w:r>
      <w:r w:rsidR="00483112" w:rsidRPr="00483112">
        <w:rPr>
          <w:shd w:val="clear" w:color="auto" w:fill="FFFFFF"/>
        </w:rPr>
        <w:t xml:space="preserve"> students, staff, and faculty across departments and office</w:t>
      </w:r>
      <w:r w:rsidR="001F0B8C">
        <w:rPr>
          <w:shd w:val="clear" w:color="auto" w:fill="FFFFFF"/>
        </w:rPr>
        <w:t>s</w:t>
      </w:r>
      <w:r w:rsidR="00483112" w:rsidRPr="00483112">
        <w:rPr>
          <w:shd w:val="clear" w:color="auto" w:fill="FFFFFF"/>
        </w:rPr>
        <w:t xml:space="preserve"> </w:t>
      </w:r>
      <w:r w:rsidR="001F0B8C" w:rsidRPr="00483112">
        <w:rPr>
          <w:shd w:val="clear" w:color="auto" w:fill="FFFFFF"/>
        </w:rPr>
        <w:t>to create a safe and more supportive social and educational campus climate for all GLBTQ students, faculty, and staff</w:t>
      </w:r>
      <w:r w:rsidR="001F0B8C">
        <w:rPr>
          <w:shd w:val="clear" w:color="auto" w:fill="FFFFFF"/>
        </w:rPr>
        <w:t>.</w:t>
      </w:r>
    </w:p>
    <w:p w:rsidR="00FE3956" w:rsidRDefault="00FE3956" w:rsidP="000945E2">
      <w:pPr>
        <w:pStyle w:val="ListParagraph"/>
        <w:numPr>
          <w:ilvl w:val="0"/>
          <w:numId w:val="26"/>
        </w:numPr>
      </w:pPr>
      <w:r w:rsidRPr="006315D9">
        <w:rPr>
          <w:b/>
        </w:rPr>
        <w:t>Sexual Assault Prevention</w:t>
      </w:r>
      <w:r w:rsidR="00B67EE6" w:rsidRPr="006315D9">
        <w:rPr>
          <w:b/>
        </w:rPr>
        <w:t xml:space="preserve"> Task Force</w:t>
      </w:r>
      <w:r w:rsidR="00B67EE6">
        <w:t xml:space="preserve"> </w:t>
      </w:r>
      <w:r w:rsidR="009B2D59">
        <w:t>has developed two</w:t>
      </w:r>
      <w:r w:rsidR="006315D9">
        <w:t xml:space="preserve"> reports</w:t>
      </w:r>
      <w:r w:rsidR="009B2D59">
        <w:t xml:space="preserve"> (2006 and 2013) that include</w:t>
      </w:r>
      <w:r w:rsidR="006315D9">
        <w:t xml:space="preserve"> key strategies and recommendations</w:t>
      </w:r>
      <w:r w:rsidR="006315D9" w:rsidRPr="006315D9">
        <w:t xml:space="preserve"> </w:t>
      </w:r>
      <w:r w:rsidR="006315D9">
        <w:t>with the intent to strengthen safety, increase awareness, and encourage a respectful and supportive campus community.  Strategies have included educational efforts, evaluation and enhancement of the university's direct response to incidents, and s</w:t>
      </w:r>
      <w:r w:rsidR="00FD2F55">
        <w:t>upport for long-term solutions.</w:t>
      </w:r>
    </w:p>
    <w:p w:rsidR="0007212C" w:rsidRDefault="0007212C" w:rsidP="000945E2">
      <w:pPr>
        <w:pStyle w:val="ListParagraph"/>
        <w:numPr>
          <w:ilvl w:val="0"/>
          <w:numId w:val="26"/>
        </w:numPr>
      </w:pPr>
      <w:r w:rsidRPr="00454CB1">
        <w:rPr>
          <w:b/>
        </w:rPr>
        <w:t>Institute for a Superior Liberal Arts Education</w:t>
      </w:r>
      <w:r w:rsidR="00454CB1">
        <w:t xml:space="preserve"> is a joint project of Miami and Walnut Hills High School and</w:t>
      </w:r>
      <w:r w:rsidR="00107E1B">
        <w:t xml:space="preserve"> for the past three years</w:t>
      </w:r>
      <w:r w:rsidR="00454CB1">
        <w:t xml:space="preserve">, has </w:t>
      </w:r>
      <w:r w:rsidR="00107E1B">
        <w:t xml:space="preserve">annually </w:t>
      </w:r>
      <w:r w:rsidR="00454CB1">
        <w:t>brought leaders from high schools and liberal arts colleges and universities across the nation to discuss best practices in advancing liberal arts education to diverse students.</w:t>
      </w:r>
    </w:p>
    <w:p w:rsidR="0007212C" w:rsidRDefault="0007212C" w:rsidP="000945E2">
      <w:pPr>
        <w:pStyle w:val="ListParagraph"/>
        <w:numPr>
          <w:ilvl w:val="0"/>
          <w:numId w:val="26"/>
        </w:numPr>
      </w:pPr>
      <w:r w:rsidRPr="00E660B7">
        <w:rPr>
          <w:b/>
        </w:rPr>
        <w:t>Academic Partnerships</w:t>
      </w:r>
      <w:r w:rsidR="00E660B7" w:rsidRPr="00E660B7">
        <w:rPr>
          <w:b/>
        </w:rPr>
        <w:t xml:space="preserve"> Committee</w:t>
      </w:r>
      <w:r w:rsidR="00E660B7">
        <w:t xml:space="preserve"> was formed in 2013 to oversee and coordinate efforts to develop partnerships with US and international high schools, colleges</w:t>
      </w:r>
      <w:r w:rsidR="00FD2F55">
        <w:t>,</w:t>
      </w:r>
      <w:r w:rsidR="00E660B7">
        <w:t xml:space="preserve"> and universities to encourage greater diversity and global</w:t>
      </w:r>
      <w:r w:rsidR="00FD2F55">
        <w:t xml:space="preserve"> learning.  Partnerships involve</w:t>
      </w:r>
      <w:r w:rsidR="00E660B7">
        <w:t xml:space="preserve"> dual degree programs, articulation and transfer agreements, joint research projects, </w:t>
      </w:r>
      <w:r w:rsidR="00D94B76">
        <w:t xml:space="preserve">academic and industry collaborations, </w:t>
      </w:r>
      <w:r w:rsidR="00E660B7">
        <w:t>etc.</w:t>
      </w:r>
    </w:p>
    <w:p w:rsidR="009B2D59" w:rsidRDefault="009B2D59" w:rsidP="000945E2">
      <w:pPr>
        <w:pStyle w:val="ListParagraph"/>
        <w:numPr>
          <w:ilvl w:val="0"/>
          <w:numId w:val="26"/>
        </w:numPr>
      </w:pPr>
      <w:r w:rsidRPr="00C431A5">
        <w:rPr>
          <w:b/>
        </w:rPr>
        <w:t>Shared Futures</w:t>
      </w:r>
      <w:r w:rsidR="00C431A5">
        <w:t xml:space="preserve"> is an AAC&amp;U initiative to advance global learning in general education programs in which Miami participated.  Miami’s participation in this initiative informed the revision of the Global Miami Plan and shaped the strategic directions of the Global Initiatives Office.</w:t>
      </w:r>
    </w:p>
    <w:p w:rsidR="00FE3956" w:rsidRDefault="00107E1B" w:rsidP="000945E2">
      <w:pPr>
        <w:pStyle w:val="ListParagraph"/>
        <w:numPr>
          <w:ilvl w:val="0"/>
          <w:numId w:val="26"/>
        </w:numPr>
      </w:pPr>
      <w:r w:rsidRPr="00107E1B">
        <w:rPr>
          <w:b/>
        </w:rPr>
        <w:t>Global Studies Committee</w:t>
      </w:r>
      <w:r w:rsidR="00FD2F55">
        <w:t xml:space="preserve"> has been constituted by</w:t>
      </w:r>
      <w:r>
        <w:t xml:space="preserve"> the Provost and the Coll</w:t>
      </w:r>
      <w:r w:rsidR="00FB23D0">
        <w:t>ege of Arts &amp; Science to develop</w:t>
      </w:r>
      <w:r>
        <w:t xml:space="preserve"> a proposal to form a new global studies unit.</w:t>
      </w:r>
    </w:p>
    <w:p w:rsidR="0051680B" w:rsidRDefault="0051680B" w:rsidP="000945E2">
      <w:pPr>
        <w:pStyle w:val="ListParagraph"/>
        <w:numPr>
          <w:ilvl w:val="0"/>
          <w:numId w:val="26"/>
        </w:numPr>
      </w:pPr>
      <w:r w:rsidRPr="004E66AE">
        <w:rPr>
          <w:b/>
        </w:rPr>
        <w:t xml:space="preserve">Global Teaching &amp; Learning </w:t>
      </w:r>
      <w:r w:rsidR="004E66AE" w:rsidRPr="004E66AE">
        <w:rPr>
          <w:b/>
        </w:rPr>
        <w:t xml:space="preserve">Annual </w:t>
      </w:r>
      <w:r w:rsidRPr="004E66AE">
        <w:rPr>
          <w:b/>
        </w:rPr>
        <w:t>Award</w:t>
      </w:r>
      <w:r w:rsidR="004E66AE">
        <w:t xml:space="preserve"> which was developed in 2013 to</w:t>
      </w:r>
      <w:r w:rsidR="00C431A5">
        <w:t xml:space="preserve"> highlight and to encourage best practices in teaching global learning outcomes at the undergraduate level.</w:t>
      </w:r>
      <w:r w:rsidR="00FB23D0">
        <w:t xml:space="preserve"> </w:t>
      </w:r>
    </w:p>
    <w:p w:rsidR="005C6445" w:rsidRPr="00591ED7" w:rsidRDefault="005C6445" w:rsidP="000945E2">
      <w:pPr>
        <w:pStyle w:val="ListParagraph"/>
        <w:numPr>
          <w:ilvl w:val="0"/>
          <w:numId w:val="26"/>
        </w:numPr>
      </w:pPr>
      <w:r w:rsidRPr="00591ED7">
        <w:rPr>
          <w:b/>
        </w:rPr>
        <w:lastRenderedPageBreak/>
        <w:t>Global Service Learning</w:t>
      </w:r>
      <w:r w:rsidR="00591ED7" w:rsidRPr="00591ED7">
        <w:rPr>
          <w:b/>
        </w:rPr>
        <w:t xml:space="preserve"> </w:t>
      </w:r>
      <w:r w:rsidR="00591ED7" w:rsidRPr="00591ED7">
        <w:t>is a new initiative to advance international experiential learning</w:t>
      </w:r>
      <w:r w:rsidR="00591ED7">
        <w:t xml:space="preserve"> among faculty and students</w:t>
      </w:r>
      <w:r w:rsidR="00591ED7" w:rsidRPr="00591ED7">
        <w:t>.</w:t>
      </w:r>
      <w:r w:rsidR="00591ED7" w:rsidRPr="00591ED7">
        <w:rPr>
          <w:b/>
        </w:rPr>
        <w:t xml:space="preserve"> </w:t>
      </w:r>
    </w:p>
    <w:p w:rsidR="00C62FD4" w:rsidRDefault="0051680B" w:rsidP="00567BC0">
      <w:r w:rsidRPr="00821EAD">
        <w:t>These efforts have led Miami to be ranked</w:t>
      </w:r>
      <w:r w:rsidR="00C251FA" w:rsidRPr="00821EAD">
        <w:t xml:space="preserve"> third </w:t>
      </w:r>
      <w:r w:rsidR="00821EAD" w:rsidRPr="00821EAD">
        <w:t xml:space="preserve">for the number of students studying abroad </w:t>
      </w:r>
      <w:r w:rsidR="00C251FA" w:rsidRPr="00821EAD">
        <w:t>among public doctoral institutions nationwide by the 2013 Institute for</w:t>
      </w:r>
      <w:r w:rsidR="00821EAD" w:rsidRPr="00821EAD">
        <w:t xml:space="preserve"> International Education report, with over 40% of our undergraduates studying abroad.  </w:t>
      </w:r>
    </w:p>
    <w:p w:rsidR="007F7D65" w:rsidRDefault="00821EAD" w:rsidP="00567BC0">
      <w:r w:rsidRPr="00A174D6">
        <w:t>Since 2006, Miami has also experienced a steady but modest</w:t>
      </w:r>
      <w:r w:rsidR="00D076AC" w:rsidRPr="00A174D6">
        <w:t xml:space="preserve"> increase in </w:t>
      </w:r>
      <w:r w:rsidRPr="00A174D6">
        <w:t>the number of diverse domestic students</w:t>
      </w:r>
      <w:r w:rsidR="00A174D6" w:rsidRPr="00A174D6">
        <w:t xml:space="preserve"> (from 9% of the first year class in 2006 to</w:t>
      </w:r>
      <w:r w:rsidR="003B0015">
        <w:t xml:space="preserve"> an estimated</w:t>
      </w:r>
      <w:r w:rsidR="00A174D6" w:rsidRPr="00A174D6">
        <w:t xml:space="preserve"> </w:t>
      </w:r>
      <w:r w:rsidR="00A174D6">
        <w:t>13.3%</w:t>
      </w:r>
      <w:r w:rsidR="007F7D65" w:rsidRPr="00A174D6">
        <w:t xml:space="preserve"> in 2014)</w:t>
      </w:r>
      <w:r w:rsidRPr="00A174D6">
        <w:t xml:space="preserve"> and a pronounced increase in the number of international students</w:t>
      </w:r>
      <w:r w:rsidR="00AD6C47">
        <w:t xml:space="preserve"> (</w:t>
      </w:r>
      <w:r w:rsidR="00A174D6" w:rsidRPr="00A174D6">
        <w:t>from less than 1% of incoming students in 2006 to</w:t>
      </w:r>
      <w:r w:rsidR="003B0015">
        <w:t xml:space="preserve"> an estimated</w:t>
      </w:r>
      <w:r w:rsidR="00A174D6" w:rsidRPr="00A174D6">
        <w:t xml:space="preserve"> 5.5%</w:t>
      </w:r>
      <w:r w:rsidR="007F7D65" w:rsidRPr="00A174D6">
        <w:t xml:space="preserve"> in 2014)</w:t>
      </w:r>
      <w:r w:rsidRPr="00A174D6">
        <w:t xml:space="preserve">. </w:t>
      </w:r>
      <w:r w:rsidR="007F7D65" w:rsidRPr="00A174D6">
        <w:t>The number of female faculty has increased markedly; however the number of racially and ethnically diverse faculty has remained relatively flat.</w:t>
      </w:r>
    </w:p>
    <w:p w:rsidR="00FF7363" w:rsidRDefault="00FF7363" w:rsidP="00567BC0">
      <w:r>
        <w:t>Despite these important gains, Miami still has room for improv</w:t>
      </w:r>
      <w:r w:rsidR="00FB23D0">
        <w:t xml:space="preserve">ement, particularly enhancing the diversity of its staff, students, </w:t>
      </w:r>
      <w:r w:rsidR="00AD6C47">
        <w:t xml:space="preserve">faculty, </w:t>
      </w:r>
      <w:r w:rsidR="00FB23D0">
        <w:t xml:space="preserve">and </w:t>
      </w:r>
      <w:r>
        <w:t>high</w:t>
      </w:r>
      <w:r w:rsidR="00FB23D0">
        <w:t xml:space="preserve"> level administrators</w:t>
      </w:r>
      <w:r w:rsidR="00985807">
        <w:t>; improving retention rates for diverse students</w:t>
      </w:r>
      <w:r w:rsidR="007F7D65">
        <w:t xml:space="preserve"> (which have declined in the past five years)</w:t>
      </w:r>
      <w:r w:rsidR="00985807">
        <w:t>;</w:t>
      </w:r>
      <w:r>
        <w:t xml:space="preserve"> and </w:t>
      </w:r>
      <w:r w:rsidR="00F16BBF">
        <w:t xml:space="preserve">engaging in </w:t>
      </w:r>
      <w:r>
        <w:t>ongoing evaluation of university-wide diversity efforts.</w:t>
      </w:r>
    </w:p>
    <w:p w:rsidR="0032614A" w:rsidRDefault="0032614A" w:rsidP="00616C4F">
      <w:pPr>
        <w:pStyle w:val="Heading2"/>
      </w:pPr>
      <w:r>
        <w:t>Sources</w:t>
      </w:r>
    </w:p>
    <w:p w:rsidR="00616C4F" w:rsidRPr="00D850F7" w:rsidRDefault="003B0015" w:rsidP="005C120F">
      <w:pPr>
        <w:pStyle w:val="NoSpacing"/>
        <w:numPr>
          <w:ilvl w:val="0"/>
          <w:numId w:val="3"/>
        </w:numPr>
        <w:ind w:left="252" w:hanging="252"/>
        <w:rPr>
          <w:sz w:val="20"/>
          <w:szCs w:val="20"/>
        </w:rPr>
      </w:pPr>
      <w:r w:rsidRPr="00D850F7">
        <w:rPr>
          <w:sz w:val="20"/>
          <w:szCs w:val="20"/>
        </w:rPr>
        <w:t>Values statement and “I A</w:t>
      </w:r>
      <w:r w:rsidR="00616C4F" w:rsidRPr="00D850F7">
        <w:rPr>
          <w:sz w:val="20"/>
          <w:szCs w:val="20"/>
        </w:rPr>
        <w:t>m Miami” campaign memo and summary</w:t>
      </w:r>
      <w:r w:rsidR="005A78DB" w:rsidRPr="00D850F7">
        <w:rPr>
          <w:sz w:val="20"/>
          <w:szCs w:val="20"/>
        </w:rPr>
        <w:t xml:space="preserve"> and website: http://miamioh.edu/iammiami/about/index.html</w:t>
      </w:r>
    </w:p>
    <w:p w:rsidR="00616C4F" w:rsidRPr="00D850F7" w:rsidRDefault="00616C4F" w:rsidP="005C120F">
      <w:pPr>
        <w:pStyle w:val="NoSpacing"/>
        <w:numPr>
          <w:ilvl w:val="0"/>
          <w:numId w:val="3"/>
        </w:numPr>
        <w:ind w:left="252" w:hanging="252"/>
        <w:rPr>
          <w:sz w:val="20"/>
          <w:szCs w:val="20"/>
        </w:rPr>
      </w:pPr>
      <w:r w:rsidRPr="00D850F7">
        <w:rPr>
          <w:sz w:val="20"/>
          <w:szCs w:val="20"/>
        </w:rPr>
        <w:t>Mission statement</w:t>
      </w:r>
    </w:p>
    <w:p w:rsidR="00D44DC1" w:rsidRPr="00D850F7" w:rsidRDefault="00D44DC1" w:rsidP="005C120F">
      <w:pPr>
        <w:pStyle w:val="NoSpacing"/>
        <w:numPr>
          <w:ilvl w:val="0"/>
          <w:numId w:val="3"/>
        </w:numPr>
        <w:ind w:left="252" w:hanging="252"/>
        <w:rPr>
          <w:sz w:val="20"/>
          <w:szCs w:val="20"/>
        </w:rPr>
      </w:pPr>
      <w:r w:rsidRPr="00D850F7">
        <w:rPr>
          <w:sz w:val="20"/>
          <w:szCs w:val="20"/>
        </w:rPr>
        <w:t>Strategic Diversity Plan – on University website—www.muohio.edu/about-miami/diversity/about-us/strategic-diversity-plan/index.html</w:t>
      </w:r>
    </w:p>
    <w:p w:rsidR="00616C4F" w:rsidRPr="00D850F7" w:rsidRDefault="00616C4F" w:rsidP="005C120F">
      <w:pPr>
        <w:pStyle w:val="NoSpacing"/>
        <w:numPr>
          <w:ilvl w:val="0"/>
          <w:numId w:val="3"/>
        </w:numPr>
        <w:ind w:left="252" w:hanging="252"/>
        <w:rPr>
          <w:i/>
          <w:sz w:val="20"/>
          <w:szCs w:val="20"/>
        </w:rPr>
      </w:pPr>
      <w:r w:rsidRPr="00D850F7">
        <w:rPr>
          <w:sz w:val="20"/>
          <w:szCs w:val="20"/>
        </w:rPr>
        <w:t>Miami 2020 Plan</w:t>
      </w:r>
    </w:p>
    <w:p w:rsidR="00616C4F" w:rsidRPr="00D850F7" w:rsidRDefault="00616C4F" w:rsidP="005C120F">
      <w:pPr>
        <w:pStyle w:val="NoSpacing"/>
        <w:numPr>
          <w:ilvl w:val="0"/>
          <w:numId w:val="3"/>
        </w:numPr>
        <w:ind w:left="252" w:hanging="252"/>
        <w:rPr>
          <w:sz w:val="20"/>
          <w:szCs w:val="20"/>
        </w:rPr>
      </w:pPr>
      <w:r w:rsidRPr="00D850F7">
        <w:rPr>
          <w:sz w:val="20"/>
          <w:szCs w:val="20"/>
        </w:rPr>
        <w:t>Strategies related to diversity in the individual Miami 2020</w:t>
      </w:r>
      <w:r w:rsidR="009E654F" w:rsidRPr="00D850F7">
        <w:rPr>
          <w:sz w:val="20"/>
          <w:szCs w:val="20"/>
        </w:rPr>
        <w:t xml:space="preserve"> Plans (divisional</w:t>
      </w:r>
      <w:r w:rsidRPr="00D850F7">
        <w:rPr>
          <w:sz w:val="20"/>
          <w:szCs w:val="20"/>
        </w:rPr>
        <w:t xml:space="preserve"> reports</w:t>
      </w:r>
      <w:r w:rsidR="009E654F" w:rsidRPr="00D850F7">
        <w:rPr>
          <w:sz w:val="20"/>
          <w:szCs w:val="20"/>
        </w:rPr>
        <w:t xml:space="preserve"> on website</w:t>
      </w:r>
      <w:r w:rsidRPr="00D850F7">
        <w:rPr>
          <w:sz w:val="20"/>
          <w:szCs w:val="20"/>
        </w:rPr>
        <w:t>)</w:t>
      </w:r>
    </w:p>
    <w:p w:rsidR="00616C4F" w:rsidRPr="00D850F7" w:rsidRDefault="00616C4F" w:rsidP="005C120F">
      <w:pPr>
        <w:pStyle w:val="NoSpacing"/>
        <w:numPr>
          <w:ilvl w:val="0"/>
          <w:numId w:val="3"/>
        </w:numPr>
        <w:ind w:left="252" w:hanging="252"/>
        <w:rPr>
          <w:i/>
          <w:sz w:val="20"/>
          <w:szCs w:val="20"/>
        </w:rPr>
      </w:pPr>
      <w:r w:rsidRPr="00D850F7">
        <w:rPr>
          <w:sz w:val="20"/>
          <w:szCs w:val="20"/>
        </w:rPr>
        <w:t>Global Miami Plan requirements (Bulletin)</w:t>
      </w:r>
      <w:r w:rsidR="00AE45AC" w:rsidRPr="00D850F7">
        <w:rPr>
          <w:sz w:val="20"/>
          <w:szCs w:val="20"/>
        </w:rPr>
        <w:t xml:space="preserve"> and new GMP</w:t>
      </w:r>
      <w:r w:rsidR="00DE6E2A" w:rsidRPr="00D850F7">
        <w:rPr>
          <w:sz w:val="20"/>
          <w:szCs w:val="20"/>
        </w:rPr>
        <w:t xml:space="preserve"> requirements related to global and intercultural understanding</w:t>
      </w:r>
    </w:p>
    <w:p w:rsidR="00616C4F" w:rsidRPr="00D850F7" w:rsidRDefault="00616C4F" w:rsidP="005C120F">
      <w:pPr>
        <w:pStyle w:val="NoSpacing"/>
        <w:numPr>
          <w:ilvl w:val="0"/>
          <w:numId w:val="3"/>
        </w:numPr>
        <w:ind w:left="252" w:hanging="252"/>
        <w:rPr>
          <w:i/>
          <w:sz w:val="20"/>
          <w:szCs w:val="20"/>
        </w:rPr>
      </w:pPr>
      <w:r w:rsidRPr="00D850F7">
        <w:rPr>
          <w:sz w:val="20"/>
          <w:szCs w:val="20"/>
        </w:rPr>
        <w:t>FSB diversity requirement (Bulletin)</w:t>
      </w:r>
      <w:r w:rsidR="00537213" w:rsidRPr="00D850F7">
        <w:rPr>
          <w:sz w:val="20"/>
          <w:szCs w:val="20"/>
        </w:rPr>
        <w:t xml:space="preserve"> description</w:t>
      </w:r>
    </w:p>
    <w:p w:rsidR="00616C4F" w:rsidRPr="00D850F7" w:rsidRDefault="00616C4F" w:rsidP="005C120F">
      <w:pPr>
        <w:pStyle w:val="NoSpacing"/>
        <w:numPr>
          <w:ilvl w:val="0"/>
          <w:numId w:val="3"/>
        </w:numPr>
        <w:ind w:left="252" w:hanging="252"/>
        <w:rPr>
          <w:sz w:val="20"/>
          <w:szCs w:val="20"/>
        </w:rPr>
      </w:pPr>
      <w:r w:rsidRPr="00D850F7">
        <w:rPr>
          <w:sz w:val="20"/>
          <w:szCs w:val="20"/>
        </w:rPr>
        <w:t>University Multicultural Council and Council on Diversity and Inclusion minutes and annual reports</w:t>
      </w:r>
    </w:p>
    <w:p w:rsidR="00616C4F" w:rsidRPr="00D850F7" w:rsidRDefault="00616C4F" w:rsidP="005C120F">
      <w:pPr>
        <w:pStyle w:val="NoSpacing"/>
        <w:numPr>
          <w:ilvl w:val="0"/>
          <w:numId w:val="3"/>
        </w:numPr>
        <w:ind w:left="252" w:hanging="252"/>
        <w:rPr>
          <w:sz w:val="20"/>
          <w:szCs w:val="20"/>
        </w:rPr>
      </w:pPr>
      <w:r w:rsidRPr="00D850F7">
        <w:rPr>
          <w:sz w:val="20"/>
          <w:szCs w:val="20"/>
        </w:rPr>
        <w:t>OEM goals and data/trends related to enrollment</w:t>
      </w:r>
      <w:r w:rsidR="001A00FE" w:rsidRPr="00D850F7">
        <w:rPr>
          <w:sz w:val="20"/>
          <w:szCs w:val="20"/>
        </w:rPr>
        <w:t xml:space="preserve"> (on OIR website and BoT presentations)</w:t>
      </w:r>
      <w:r w:rsidR="009E654F" w:rsidRPr="00D850F7">
        <w:rPr>
          <w:sz w:val="20"/>
          <w:szCs w:val="20"/>
        </w:rPr>
        <w:t xml:space="preserve"> from 2006 to 2014</w:t>
      </w:r>
    </w:p>
    <w:p w:rsidR="005C6445" w:rsidRPr="00D850F7" w:rsidRDefault="005C6445" w:rsidP="005C120F">
      <w:pPr>
        <w:pStyle w:val="NoSpacing"/>
        <w:numPr>
          <w:ilvl w:val="0"/>
          <w:numId w:val="3"/>
        </w:numPr>
        <w:ind w:left="252" w:hanging="252"/>
        <w:rPr>
          <w:sz w:val="20"/>
          <w:szCs w:val="20"/>
        </w:rPr>
      </w:pPr>
      <w:r w:rsidRPr="00D850F7">
        <w:rPr>
          <w:sz w:val="20"/>
          <w:szCs w:val="20"/>
        </w:rPr>
        <w:t>Faculty/staff diversity trends</w:t>
      </w:r>
    </w:p>
    <w:p w:rsidR="00616C4F" w:rsidRPr="00D850F7" w:rsidRDefault="00616C4F" w:rsidP="005C120F">
      <w:pPr>
        <w:pStyle w:val="NoSpacing"/>
        <w:numPr>
          <w:ilvl w:val="0"/>
          <w:numId w:val="3"/>
        </w:numPr>
        <w:ind w:left="252" w:hanging="252"/>
        <w:rPr>
          <w:i/>
          <w:sz w:val="20"/>
          <w:szCs w:val="20"/>
        </w:rPr>
      </w:pPr>
      <w:r w:rsidRPr="00D850F7">
        <w:rPr>
          <w:sz w:val="20"/>
          <w:szCs w:val="20"/>
        </w:rPr>
        <w:t>Diversity Affairs Council (ASG) reports and minutes</w:t>
      </w:r>
    </w:p>
    <w:p w:rsidR="00616C4F" w:rsidRPr="00D850F7" w:rsidRDefault="009746B2" w:rsidP="005C120F">
      <w:pPr>
        <w:pStyle w:val="NoSpacing"/>
        <w:numPr>
          <w:ilvl w:val="0"/>
          <w:numId w:val="3"/>
        </w:numPr>
        <w:ind w:left="252" w:hanging="252"/>
        <w:rPr>
          <w:i/>
          <w:sz w:val="20"/>
          <w:szCs w:val="20"/>
        </w:rPr>
      </w:pPr>
      <w:r w:rsidRPr="00D850F7">
        <w:rPr>
          <w:sz w:val="20"/>
          <w:szCs w:val="20"/>
        </w:rPr>
        <w:t>List of activities related to Freedom Summer</w:t>
      </w:r>
      <w:r w:rsidR="009E654F" w:rsidRPr="00D850F7">
        <w:rPr>
          <w:sz w:val="20"/>
          <w:szCs w:val="20"/>
        </w:rPr>
        <w:t xml:space="preserve"> on website</w:t>
      </w:r>
    </w:p>
    <w:p w:rsidR="00616C4F" w:rsidRPr="00D850F7" w:rsidRDefault="00616C4F" w:rsidP="005C120F">
      <w:pPr>
        <w:pStyle w:val="NoSpacing"/>
        <w:numPr>
          <w:ilvl w:val="0"/>
          <w:numId w:val="3"/>
        </w:numPr>
        <w:ind w:left="252" w:hanging="252"/>
        <w:rPr>
          <w:i/>
          <w:sz w:val="20"/>
          <w:szCs w:val="20"/>
        </w:rPr>
      </w:pPr>
      <w:r w:rsidRPr="00D850F7">
        <w:rPr>
          <w:sz w:val="20"/>
          <w:szCs w:val="20"/>
        </w:rPr>
        <w:t>Global I</w:t>
      </w:r>
      <w:r w:rsidR="00AA0168" w:rsidRPr="00D850F7">
        <w:rPr>
          <w:sz w:val="20"/>
          <w:szCs w:val="20"/>
        </w:rPr>
        <w:t xml:space="preserve">nitiatives </w:t>
      </w:r>
      <w:r w:rsidR="009746B2" w:rsidRPr="00D850F7">
        <w:rPr>
          <w:sz w:val="20"/>
          <w:szCs w:val="20"/>
        </w:rPr>
        <w:t>annual reports</w:t>
      </w:r>
    </w:p>
    <w:p w:rsidR="00616C4F" w:rsidRPr="00D850F7" w:rsidRDefault="00616C4F" w:rsidP="005C120F">
      <w:pPr>
        <w:pStyle w:val="NoSpacing"/>
        <w:numPr>
          <w:ilvl w:val="0"/>
          <w:numId w:val="3"/>
        </w:numPr>
        <w:ind w:left="252" w:hanging="252"/>
        <w:rPr>
          <w:sz w:val="20"/>
          <w:szCs w:val="20"/>
        </w:rPr>
      </w:pPr>
      <w:r w:rsidRPr="00D850F7">
        <w:rPr>
          <w:sz w:val="20"/>
          <w:szCs w:val="20"/>
        </w:rPr>
        <w:t>Interdisciplinary programs list (IAC website)</w:t>
      </w:r>
    </w:p>
    <w:p w:rsidR="00616C4F" w:rsidRPr="00D850F7" w:rsidRDefault="00616C4F" w:rsidP="005C120F">
      <w:pPr>
        <w:pStyle w:val="NoSpacing"/>
        <w:numPr>
          <w:ilvl w:val="0"/>
          <w:numId w:val="3"/>
        </w:numPr>
        <w:ind w:left="252" w:hanging="252"/>
        <w:rPr>
          <w:sz w:val="20"/>
          <w:szCs w:val="20"/>
        </w:rPr>
      </w:pPr>
      <w:r w:rsidRPr="00D850F7">
        <w:rPr>
          <w:sz w:val="20"/>
          <w:szCs w:val="20"/>
        </w:rPr>
        <w:t>Cr</w:t>
      </w:r>
      <w:r w:rsidR="00AA0168" w:rsidRPr="00D850F7">
        <w:rPr>
          <w:sz w:val="20"/>
          <w:szCs w:val="20"/>
        </w:rPr>
        <w:t xml:space="preserve">eation of new Global </w:t>
      </w:r>
      <w:r w:rsidRPr="00D850F7">
        <w:rPr>
          <w:sz w:val="20"/>
          <w:szCs w:val="20"/>
        </w:rPr>
        <w:t>Studies unit (Senate presentation</w:t>
      </w:r>
      <w:r w:rsidR="00AA0168" w:rsidRPr="00D850F7">
        <w:rPr>
          <w:sz w:val="20"/>
          <w:szCs w:val="20"/>
        </w:rPr>
        <w:t>/report</w:t>
      </w:r>
      <w:r w:rsidRPr="00D850F7">
        <w:rPr>
          <w:sz w:val="20"/>
          <w:szCs w:val="20"/>
        </w:rPr>
        <w:t>) in CAS</w:t>
      </w:r>
    </w:p>
    <w:p w:rsidR="00616C4F" w:rsidRPr="00D850F7" w:rsidRDefault="00616C4F" w:rsidP="005C120F">
      <w:pPr>
        <w:pStyle w:val="NoSpacing"/>
        <w:numPr>
          <w:ilvl w:val="0"/>
          <w:numId w:val="3"/>
        </w:numPr>
        <w:ind w:left="252" w:hanging="252"/>
        <w:rPr>
          <w:sz w:val="20"/>
          <w:szCs w:val="20"/>
        </w:rPr>
      </w:pPr>
      <w:r w:rsidRPr="00D850F7">
        <w:rPr>
          <w:sz w:val="20"/>
          <w:szCs w:val="20"/>
        </w:rPr>
        <w:t>List of CELTUA FLCs and workshops related to multicultural/global issues</w:t>
      </w:r>
    </w:p>
    <w:p w:rsidR="00616C4F" w:rsidRPr="00D850F7" w:rsidRDefault="00616C4F" w:rsidP="005C120F">
      <w:pPr>
        <w:pStyle w:val="NoSpacing"/>
        <w:numPr>
          <w:ilvl w:val="0"/>
          <w:numId w:val="3"/>
        </w:numPr>
        <w:ind w:left="252" w:hanging="252"/>
        <w:rPr>
          <w:sz w:val="20"/>
          <w:szCs w:val="20"/>
        </w:rPr>
      </w:pPr>
      <w:r w:rsidRPr="00D850F7">
        <w:rPr>
          <w:sz w:val="20"/>
          <w:szCs w:val="20"/>
        </w:rPr>
        <w:t xml:space="preserve">Shared Futures Report </w:t>
      </w:r>
    </w:p>
    <w:p w:rsidR="00AA0168" w:rsidRPr="00D850F7" w:rsidRDefault="00AA0168" w:rsidP="005C120F">
      <w:pPr>
        <w:pStyle w:val="NoSpacing"/>
        <w:numPr>
          <w:ilvl w:val="0"/>
          <w:numId w:val="3"/>
        </w:numPr>
        <w:ind w:left="252" w:hanging="252"/>
        <w:rPr>
          <w:sz w:val="20"/>
          <w:szCs w:val="20"/>
        </w:rPr>
      </w:pPr>
      <w:r w:rsidRPr="00D850F7">
        <w:rPr>
          <w:sz w:val="20"/>
          <w:szCs w:val="20"/>
        </w:rPr>
        <w:t>Sexual Assault Prevention Task Force Report</w:t>
      </w:r>
      <w:r w:rsidR="00FD2F55" w:rsidRPr="00D850F7">
        <w:rPr>
          <w:sz w:val="20"/>
          <w:szCs w:val="20"/>
        </w:rPr>
        <w:t xml:space="preserve">: </w:t>
      </w:r>
      <w:hyperlink r:id="rId10" w:history="1">
        <w:r w:rsidR="00FB23D0" w:rsidRPr="00D850F7">
          <w:rPr>
            <w:rStyle w:val="Hyperlink"/>
          </w:rPr>
          <w:t>http://www.miamioh.edu/campus-safety/sexual-assault/task-force/index.html</w:t>
        </w:r>
      </w:hyperlink>
    </w:p>
    <w:p w:rsidR="00FB23D0" w:rsidRPr="00D850F7" w:rsidRDefault="00FB23D0" w:rsidP="005C120F">
      <w:pPr>
        <w:pStyle w:val="NoSpacing"/>
        <w:numPr>
          <w:ilvl w:val="0"/>
          <w:numId w:val="3"/>
        </w:numPr>
        <w:ind w:left="252" w:hanging="252"/>
        <w:rPr>
          <w:sz w:val="20"/>
          <w:szCs w:val="20"/>
        </w:rPr>
      </w:pPr>
      <w:r w:rsidRPr="00D850F7">
        <w:t>Global Teaching &amp; Learning Award: http://miamioh.edu/liberal-ed/faculty-staff/GTL-Award.html</w:t>
      </w:r>
    </w:p>
    <w:p w:rsidR="00C42895" w:rsidRPr="00D850F7" w:rsidRDefault="00591ED7" w:rsidP="005C120F">
      <w:pPr>
        <w:pStyle w:val="NoSpacing"/>
        <w:numPr>
          <w:ilvl w:val="0"/>
          <w:numId w:val="3"/>
        </w:numPr>
        <w:ind w:left="252" w:hanging="252"/>
        <w:rPr>
          <w:sz w:val="20"/>
          <w:szCs w:val="20"/>
        </w:rPr>
      </w:pPr>
      <w:r w:rsidRPr="00D850F7">
        <w:rPr>
          <w:sz w:val="20"/>
          <w:szCs w:val="20"/>
        </w:rPr>
        <w:t>Global Service Learning  White Paper</w:t>
      </w:r>
      <w:r w:rsidR="00C42895" w:rsidRPr="00D850F7">
        <w:rPr>
          <w:sz w:val="20"/>
          <w:szCs w:val="20"/>
        </w:rPr>
        <w:t xml:space="preserve"> (Monica Ways)</w:t>
      </w:r>
    </w:p>
    <w:p w:rsidR="00DC1DC1" w:rsidRPr="00D850F7" w:rsidRDefault="00DC1DC1" w:rsidP="005C120F">
      <w:pPr>
        <w:pStyle w:val="NoSpacing"/>
        <w:numPr>
          <w:ilvl w:val="0"/>
          <w:numId w:val="3"/>
        </w:numPr>
        <w:ind w:left="252" w:hanging="252"/>
        <w:rPr>
          <w:rStyle w:val="Hyperlink"/>
          <w:color w:val="auto"/>
          <w:sz w:val="20"/>
          <w:szCs w:val="20"/>
          <w:u w:val="none"/>
        </w:rPr>
      </w:pPr>
      <w:r w:rsidRPr="00D850F7">
        <w:rPr>
          <w:sz w:val="20"/>
          <w:szCs w:val="20"/>
        </w:rPr>
        <w:t xml:space="preserve">ACE Program description: </w:t>
      </w:r>
      <w:hyperlink r:id="rId11" w:history="1">
        <w:r w:rsidR="009B4B99" w:rsidRPr="00D850F7">
          <w:rPr>
            <w:rStyle w:val="Hyperlink"/>
          </w:rPr>
          <w:t>http://www.miamioh.edu/academics/intl-student-resources/american-english/</w:t>
        </w:r>
      </w:hyperlink>
    </w:p>
    <w:p w:rsidR="009E654F" w:rsidRPr="00D850F7" w:rsidRDefault="009E654F" w:rsidP="005C120F">
      <w:pPr>
        <w:pStyle w:val="NoSpacing"/>
        <w:numPr>
          <w:ilvl w:val="0"/>
          <w:numId w:val="3"/>
        </w:numPr>
        <w:ind w:left="252" w:hanging="252"/>
        <w:rPr>
          <w:sz w:val="20"/>
          <w:szCs w:val="20"/>
        </w:rPr>
      </w:pPr>
      <w:r w:rsidRPr="00D850F7">
        <w:rPr>
          <w:sz w:val="20"/>
          <w:szCs w:val="20"/>
        </w:rPr>
        <w:t>English Language Center description</w:t>
      </w:r>
    </w:p>
    <w:p w:rsidR="009B4B99" w:rsidRPr="00D850F7" w:rsidRDefault="009B4B99" w:rsidP="005C120F">
      <w:pPr>
        <w:pStyle w:val="NoSpacing"/>
        <w:numPr>
          <w:ilvl w:val="0"/>
          <w:numId w:val="3"/>
        </w:numPr>
        <w:ind w:left="252" w:hanging="252"/>
        <w:rPr>
          <w:sz w:val="20"/>
          <w:szCs w:val="20"/>
        </w:rPr>
      </w:pPr>
      <w:r w:rsidRPr="00D850F7">
        <w:rPr>
          <w:sz w:val="20"/>
          <w:szCs w:val="20"/>
        </w:rPr>
        <w:t xml:space="preserve">Diversity-related offices and units for faculty and staff: </w:t>
      </w:r>
      <w:hyperlink r:id="rId12" w:history="1">
        <w:r w:rsidR="009E654F" w:rsidRPr="00D850F7">
          <w:rPr>
            <w:rStyle w:val="Hyperlink"/>
          </w:rPr>
          <w:t>https://www.miami.miamioh.edu/about-miami/diversity/faculty-staff-connections/index.html</w:t>
        </w:r>
      </w:hyperlink>
    </w:p>
    <w:p w:rsidR="009E654F" w:rsidRPr="00D850F7" w:rsidRDefault="009E654F" w:rsidP="005C120F">
      <w:pPr>
        <w:pStyle w:val="NoSpacing"/>
        <w:numPr>
          <w:ilvl w:val="0"/>
          <w:numId w:val="3"/>
        </w:numPr>
        <w:ind w:left="252" w:hanging="252"/>
        <w:rPr>
          <w:sz w:val="20"/>
          <w:szCs w:val="20"/>
        </w:rPr>
      </w:pPr>
      <w:r w:rsidRPr="00D850F7">
        <w:t>Annual report of Academic Partnership Committee</w:t>
      </w:r>
    </w:p>
    <w:p w:rsidR="009E654F" w:rsidRPr="00D850F7" w:rsidRDefault="009E654F" w:rsidP="005C120F">
      <w:pPr>
        <w:pStyle w:val="NoSpacing"/>
        <w:numPr>
          <w:ilvl w:val="0"/>
          <w:numId w:val="3"/>
        </w:numPr>
        <w:ind w:left="252" w:hanging="252"/>
        <w:rPr>
          <w:sz w:val="20"/>
          <w:szCs w:val="20"/>
        </w:rPr>
      </w:pPr>
      <w:r w:rsidRPr="00D850F7">
        <w:t>Annual reports of Women’s Center</w:t>
      </w:r>
    </w:p>
    <w:p w:rsidR="00FE6242" w:rsidRPr="00D850F7" w:rsidRDefault="00FE6242" w:rsidP="005C120F">
      <w:pPr>
        <w:pStyle w:val="NoSpacing"/>
        <w:numPr>
          <w:ilvl w:val="0"/>
          <w:numId w:val="3"/>
        </w:numPr>
        <w:ind w:left="252" w:hanging="252"/>
        <w:rPr>
          <w:sz w:val="20"/>
          <w:szCs w:val="20"/>
        </w:rPr>
      </w:pPr>
      <w:r w:rsidRPr="00D850F7">
        <w:t>Urban Leadership Internship website</w:t>
      </w:r>
    </w:p>
    <w:p w:rsidR="00FE6242" w:rsidRPr="00D850F7" w:rsidRDefault="00FE6242" w:rsidP="005C120F">
      <w:pPr>
        <w:pStyle w:val="NoSpacing"/>
        <w:numPr>
          <w:ilvl w:val="0"/>
          <w:numId w:val="3"/>
        </w:numPr>
        <w:ind w:left="252" w:hanging="252"/>
        <w:rPr>
          <w:sz w:val="20"/>
          <w:szCs w:val="20"/>
        </w:rPr>
      </w:pPr>
      <w:r w:rsidRPr="00D850F7">
        <w:t>ISLAE website, reports</w:t>
      </w:r>
    </w:p>
    <w:p w:rsidR="00FE6242" w:rsidRPr="00D850F7" w:rsidRDefault="00FE6242" w:rsidP="005C120F">
      <w:pPr>
        <w:pStyle w:val="NoSpacing"/>
        <w:numPr>
          <w:ilvl w:val="0"/>
          <w:numId w:val="3"/>
        </w:numPr>
        <w:ind w:left="252" w:hanging="252"/>
        <w:rPr>
          <w:sz w:val="20"/>
          <w:szCs w:val="20"/>
        </w:rPr>
      </w:pPr>
      <w:r w:rsidRPr="00D850F7">
        <w:t>MUDEC reports</w:t>
      </w:r>
    </w:p>
    <w:p w:rsidR="00FE6242" w:rsidRPr="00D850F7" w:rsidRDefault="00FE6242" w:rsidP="005C120F">
      <w:pPr>
        <w:pStyle w:val="NoSpacing"/>
        <w:numPr>
          <w:ilvl w:val="0"/>
          <w:numId w:val="3"/>
        </w:numPr>
        <w:ind w:left="252" w:hanging="252"/>
        <w:rPr>
          <w:sz w:val="20"/>
          <w:szCs w:val="20"/>
        </w:rPr>
      </w:pPr>
      <w:r w:rsidRPr="00D850F7">
        <w:t>Safe Zone Training description</w:t>
      </w:r>
    </w:p>
    <w:p w:rsidR="00FE6242" w:rsidRPr="00D850F7" w:rsidRDefault="00FE6242" w:rsidP="005C120F">
      <w:pPr>
        <w:pStyle w:val="NoSpacing"/>
        <w:numPr>
          <w:ilvl w:val="0"/>
          <w:numId w:val="3"/>
        </w:numPr>
        <w:ind w:left="252" w:hanging="252"/>
        <w:rPr>
          <w:sz w:val="20"/>
          <w:szCs w:val="20"/>
        </w:rPr>
      </w:pPr>
      <w:r w:rsidRPr="00D850F7">
        <w:t>Office of Diversity &amp; Multicultural Services reports (regionals)</w:t>
      </w:r>
    </w:p>
    <w:p w:rsidR="006A15B5" w:rsidRDefault="006A15B5">
      <w:pPr>
        <w:rPr>
          <w:b/>
          <w:bCs/>
          <w:spacing w:val="5"/>
          <w:sz w:val="24"/>
          <w:szCs w:val="24"/>
        </w:rPr>
      </w:pPr>
      <w:r>
        <w:br w:type="page"/>
      </w:r>
    </w:p>
    <w:p w:rsidR="00616C4F" w:rsidRPr="00446646" w:rsidRDefault="00616C4F" w:rsidP="00616C4F">
      <w:pPr>
        <w:pStyle w:val="Heading4"/>
      </w:pPr>
      <w:r>
        <w:lastRenderedPageBreak/>
        <w:t xml:space="preserve">1.D.    </w:t>
      </w:r>
      <w:r w:rsidRPr="00446646">
        <w:t>The institution’s mission demonstrates commitment to the public good.</w:t>
      </w:r>
    </w:p>
    <w:p w:rsidR="00616C4F" w:rsidRPr="003B3209" w:rsidRDefault="00616C4F" w:rsidP="00616C4F">
      <w:pPr>
        <w:pStyle w:val="Heading5"/>
        <w:ind w:left="720" w:hanging="720"/>
        <w:rPr>
          <w:sz w:val="20"/>
          <w:szCs w:val="20"/>
        </w:rPr>
      </w:pPr>
      <w:r w:rsidRPr="003B3209">
        <w:rPr>
          <w:sz w:val="20"/>
          <w:szCs w:val="20"/>
        </w:rPr>
        <w:t xml:space="preserve">1.D.1.   </w:t>
      </w:r>
      <w:r w:rsidR="003B3209">
        <w:rPr>
          <w:sz w:val="20"/>
          <w:szCs w:val="20"/>
        </w:rPr>
        <w:t xml:space="preserve">  </w:t>
      </w:r>
      <w:r w:rsidRPr="003B3209">
        <w:rPr>
          <w:sz w:val="20"/>
          <w:szCs w:val="20"/>
        </w:rPr>
        <w:t xml:space="preserve"> Actions and decisions reflect an understanding that in its educational role the institution serves the public, not solely the institution, and thus entails a public obligation.</w:t>
      </w:r>
    </w:p>
    <w:p w:rsidR="00616C4F" w:rsidRPr="003B3209" w:rsidRDefault="00616C4F" w:rsidP="00616C4F">
      <w:pPr>
        <w:pStyle w:val="Heading5"/>
        <w:ind w:left="720" w:hanging="720"/>
        <w:rPr>
          <w:sz w:val="20"/>
          <w:szCs w:val="20"/>
        </w:rPr>
      </w:pPr>
      <w:r w:rsidRPr="003B3209">
        <w:rPr>
          <w:sz w:val="20"/>
          <w:szCs w:val="20"/>
        </w:rPr>
        <w:t xml:space="preserve">1.D.2.   </w:t>
      </w:r>
      <w:r w:rsidR="003B3209">
        <w:rPr>
          <w:sz w:val="20"/>
          <w:szCs w:val="20"/>
        </w:rPr>
        <w:t xml:space="preserve">  </w:t>
      </w:r>
      <w:r w:rsidRPr="003B3209">
        <w:rPr>
          <w:sz w:val="20"/>
          <w:szCs w:val="20"/>
        </w:rPr>
        <w:t>The institution’s educational responsibilities take primacy over other purposes, such as generating financial returns for investors, contributing to a related or parent organization, or supporting external interests.</w:t>
      </w:r>
    </w:p>
    <w:p w:rsidR="00616C4F" w:rsidRPr="003B3209" w:rsidRDefault="00616C4F" w:rsidP="00616C4F">
      <w:pPr>
        <w:pStyle w:val="Heading5"/>
        <w:ind w:left="720" w:hanging="720"/>
        <w:rPr>
          <w:sz w:val="20"/>
          <w:szCs w:val="20"/>
        </w:rPr>
      </w:pPr>
      <w:r w:rsidRPr="003B3209">
        <w:rPr>
          <w:sz w:val="20"/>
          <w:szCs w:val="20"/>
        </w:rPr>
        <w:t xml:space="preserve">1.D.3.  </w:t>
      </w:r>
      <w:r w:rsidR="003B3209">
        <w:rPr>
          <w:sz w:val="20"/>
          <w:szCs w:val="20"/>
        </w:rPr>
        <w:t xml:space="preserve">  </w:t>
      </w:r>
      <w:r w:rsidRPr="003B3209">
        <w:rPr>
          <w:sz w:val="20"/>
          <w:szCs w:val="20"/>
        </w:rPr>
        <w:t xml:space="preserve"> The institution engages with its identified external constituencies and communities of interest and responds to their needs as its mission and capacity allow.</w:t>
      </w:r>
    </w:p>
    <w:p w:rsidR="00616C4F" w:rsidRDefault="00616C4F" w:rsidP="00616C4F">
      <w:pPr>
        <w:pStyle w:val="Heading2"/>
      </w:pPr>
      <w:r>
        <w:t>Narrative</w:t>
      </w:r>
    </w:p>
    <w:p w:rsidR="00DF3D28" w:rsidRDefault="00DF3D28" w:rsidP="00DF3D28">
      <w:r>
        <w:t>Miami has made its commitment to the public</w:t>
      </w:r>
      <w:r w:rsidR="00076DCE">
        <w:t xml:space="preserve"> integral to its academic and fiscal </w:t>
      </w:r>
      <w:r>
        <w:t>planning.  The third foundational goal of the Miami 2020 Plan reads: “Cultivate mutually beneficial partnerships and applied and service-oriented projects that strengthen our local, state, national and world communities,” and it encompasses f</w:t>
      </w:r>
      <w:r w:rsidR="001E72DA">
        <w:t xml:space="preserve">our </w:t>
      </w:r>
      <w:r w:rsidR="00A026B2">
        <w:t>objectives that advance</w:t>
      </w:r>
      <w:r w:rsidR="00F50846">
        <w:t xml:space="preserve"> the university’s</w:t>
      </w:r>
      <w:r w:rsidR="001E72DA">
        <w:t xml:space="preserve"> dedication to t</w:t>
      </w:r>
      <w:r w:rsidR="00E477E7">
        <w:t>he public good</w:t>
      </w:r>
      <w:r w:rsidR="00076DCE">
        <w:t xml:space="preserve"> and external </w:t>
      </w:r>
      <w:r w:rsidR="00A026B2">
        <w:t>constituencies while also ensuring a quality education for its students</w:t>
      </w:r>
      <w:r>
        <w:t>:</w:t>
      </w:r>
    </w:p>
    <w:p w:rsidR="00DF3D28" w:rsidRDefault="00DF3D28" w:rsidP="000945E2">
      <w:pPr>
        <w:pStyle w:val="ListParagraph"/>
        <w:numPr>
          <w:ilvl w:val="0"/>
          <w:numId w:val="28"/>
        </w:numPr>
      </w:pPr>
      <w:r>
        <w:t>Partner with educational and other public- and private-sector institutions to co-design academic and outreach programs that enhance access to and support of quality higher education.</w:t>
      </w:r>
    </w:p>
    <w:p w:rsidR="00DF3D28" w:rsidRDefault="00DF3D28" w:rsidP="000945E2">
      <w:pPr>
        <w:pStyle w:val="ListParagraph"/>
        <w:numPr>
          <w:ilvl w:val="0"/>
          <w:numId w:val="28"/>
        </w:numPr>
      </w:pPr>
      <w:r>
        <w:t>Increase lifelong learning opportunities, engagement, and giving from alumni, parents, and friends.</w:t>
      </w:r>
    </w:p>
    <w:p w:rsidR="00DF3D28" w:rsidRDefault="00DF3D28" w:rsidP="000945E2">
      <w:pPr>
        <w:pStyle w:val="ListParagraph"/>
        <w:numPr>
          <w:ilvl w:val="0"/>
          <w:numId w:val="28"/>
        </w:numPr>
      </w:pPr>
      <w:r>
        <w:t>Grow Miami’s sponsored research, grants, intellectual property, internships, and co-curricular learning opportunities by helping corporate, governmental, and non-profit entities thrive through solutions-oriented partnerships.</w:t>
      </w:r>
    </w:p>
    <w:p w:rsidR="00DF3D28" w:rsidRDefault="00DF3D28" w:rsidP="000945E2">
      <w:pPr>
        <w:pStyle w:val="ListParagraph"/>
        <w:numPr>
          <w:ilvl w:val="0"/>
          <w:numId w:val="28"/>
        </w:numPr>
      </w:pPr>
      <w:r>
        <w:t>Advance Ohio’s economic development and prosperity by providing talent and expertise that helps shape policy and improves quality of life.</w:t>
      </w:r>
    </w:p>
    <w:p w:rsidR="00DF3D28" w:rsidRDefault="00DF3D28" w:rsidP="00DF3D28">
      <w:r>
        <w:t>Metrics ha</w:t>
      </w:r>
      <w:r w:rsidR="00E82A11">
        <w:t>ve been assigned to each objective</w:t>
      </w:r>
      <w:r>
        <w:t xml:space="preserve"> so that progress can be tracked</w:t>
      </w:r>
      <w:r w:rsidR="00E82A11">
        <w:t xml:space="preserve"> on an annual basis</w:t>
      </w:r>
      <w:r>
        <w:t>, and each division, department</w:t>
      </w:r>
      <w:r w:rsidR="00E82A11">
        <w:t>,</w:t>
      </w:r>
      <w:r>
        <w:t xml:space="preserve"> and unit has developed strategies for meeting th</w:t>
      </w:r>
      <w:r w:rsidR="004554B2">
        <w:t>e objectives</w:t>
      </w:r>
      <w:r w:rsidR="00E82A11">
        <w:t xml:space="preserve"> and will report annually on their activities.</w:t>
      </w:r>
    </w:p>
    <w:p w:rsidR="00E710CB" w:rsidRDefault="00E82A11" w:rsidP="00E710CB">
      <w:r>
        <w:t xml:space="preserve">One of the key constituents of </w:t>
      </w:r>
      <w:r w:rsidR="00E710CB" w:rsidRPr="0083394C">
        <w:t>Miami University</w:t>
      </w:r>
      <w:r>
        <w:t xml:space="preserve"> is employers</w:t>
      </w:r>
      <w:r w:rsidR="00E710CB">
        <w:t xml:space="preserve">. In 2014, Miami joined </w:t>
      </w:r>
      <w:r w:rsidR="00E710CB" w:rsidRPr="0083394C">
        <w:t>a new national initiative called the LEAP Employer-Educator Compact, which</w:t>
      </w:r>
      <w:r w:rsidR="00E710CB">
        <w:t xml:space="preserve"> </w:t>
      </w:r>
      <w:r w:rsidR="00E710CB" w:rsidRPr="0083394C">
        <w:t>showcase</w:t>
      </w:r>
      <w:r w:rsidR="00E710CB">
        <w:t>s</w:t>
      </w:r>
      <w:r w:rsidR="00E710CB" w:rsidRPr="0083394C">
        <w:t xml:space="preserve"> employer support for the goals and outcomes of a</w:t>
      </w:r>
      <w:r w:rsidR="00E710CB">
        <w:t xml:space="preserve"> broad liberal education and </w:t>
      </w:r>
      <w:r w:rsidR="00F16BBF">
        <w:t xml:space="preserve">demonstrates </w:t>
      </w:r>
      <w:r w:rsidR="00E710CB" w:rsidRPr="0083394C">
        <w:t>how higher education is helping students connect college learning with work, citizenship</w:t>
      </w:r>
      <w:r w:rsidR="00F16BBF">
        <w:t xml:space="preserve">, and global challenges. </w:t>
      </w:r>
      <w:r w:rsidR="006B3FF3">
        <w:fldChar w:fldCharType="begin"/>
      </w:r>
      <w:r w:rsidR="006B3FF3">
        <w:instrText xml:space="preserve"> HYPERLINK "http://miamioh.edu/about-miami/leadership/president/" \t "_blank" </w:instrText>
      </w:r>
      <w:r w:rsidR="006B3FF3">
        <w:fldChar w:fldCharType="separate"/>
      </w:r>
      <w:r w:rsidR="00F16BBF">
        <w:t xml:space="preserve">President </w:t>
      </w:r>
      <w:r w:rsidR="00E710CB" w:rsidRPr="0083394C">
        <w:t>Hodge</w:t>
      </w:r>
      <w:r w:rsidR="006B3FF3">
        <w:fldChar w:fldCharType="end"/>
      </w:r>
      <w:r w:rsidR="00E710CB" w:rsidRPr="0083394C">
        <w:t xml:space="preserve"> is </w:t>
      </w:r>
      <w:r w:rsidR="00E710CB">
        <w:t xml:space="preserve">also </w:t>
      </w:r>
      <w:r w:rsidR="00E710CB" w:rsidRPr="0083394C">
        <w:t>a member of a leadership group within AAC&amp;U called the LEAP Presidents’ Trust. </w:t>
      </w:r>
      <w:r w:rsidR="00E710CB">
        <w:t xml:space="preserve"> </w:t>
      </w:r>
      <w:r w:rsidR="00E710CB" w:rsidRPr="0083394C">
        <w:t>Presidents’ Trust members and employers who work with them are the initial signatories to this initiative. Miami’s employer partners include PNC Bank, Columbia Gas of Ohio</w:t>
      </w:r>
      <w:r w:rsidR="00DF59C5">
        <w:t>,</w:t>
      </w:r>
      <w:r w:rsidR="00E710CB" w:rsidRPr="0083394C">
        <w:t xml:space="preserve"> and Coyote Logistics.</w:t>
      </w:r>
      <w:r w:rsidR="00E710CB">
        <w:t xml:space="preserve">  </w:t>
      </w:r>
      <w:r w:rsidR="00E710CB" w:rsidRPr="0083394C">
        <w:t>Partners pledge to underscore the economic value of liberal education a</w:t>
      </w:r>
      <w:r w:rsidR="00CC3D3E">
        <w:t>nd to provide students with</w:t>
      </w:r>
      <w:r w:rsidR="00E710CB" w:rsidRPr="0083394C">
        <w:t xml:space="preserve"> hands-on learning opportunities to connect their campus learning with rea</w:t>
      </w:r>
      <w:r w:rsidR="00E710CB">
        <w:t>l-world contexts and problems. </w:t>
      </w:r>
    </w:p>
    <w:p w:rsidR="00F503DA" w:rsidRDefault="00F503DA" w:rsidP="00615DF7">
      <w:pPr>
        <w:rPr>
          <w:rFonts w:eastAsia="Times New Roman"/>
        </w:rPr>
      </w:pPr>
      <w:r>
        <w:rPr>
          <w:rFonts w:eastAsia="Times New Roman"/>
        </w:rPr>
        <w:t xml:space="preserve">The </w:t>
      </w:r>
      <w:r w:rsidR="00454946">
        <w:rPr>
          <w:rFonts w:eastAsia="Times New Roman"/>
        </w:rPr>
        <w:t>academic division on the regional campuses, called</w:t>
      </w:r>
      <w:r>
        <w:rPr>
          <w:rFonts w:eastAsia="Times New Roman"/>
        </w:rPr>
        <w:t xml:space="preserve"> the College of Professional Studies &amp; Applied Sciences </w:t>
      </w:r>
      <w:r w:rsidR="00454946">
        <w:rPr>
          <w:rFonts w:eastAsia="Times New Roman"/>
        </w:rPr>
        <w:t>(CPSAS),</w:t>
      </w:r>
      <w:r>
        <w:rPr>
          <w:rFonts w:eastAsia="Times New Roman"/>
        </w:rPr>
        <w:t xml:space="preserve"> </w:t>
      </w:r>
      <w:r w:rsidR="00E710CB">
        <w:rPr>
          <w:rFonts w:eastAsia="Times New Roman"/>
        </w:rPr>
        <w:t xml:space="preserve">has partnered with local employers and </w:t>
      </w:r>
      <w:r w:rsidR="00E82A11">
        <w:rPr>
          <w:rFonts w:eastAsia="Times New Roman"/>
        </w:rPr>
        <w:t xml:space="preserve">business </w:t>
      </w:r>
      <w:r w:rsidR="00E710CB">
        <w:rPr>
          <w:rFonts w:eastAsia="Times New Roman"/>
        </w:rPr>
        <w:t>leaders to develop</w:t>
      </w:r>
      <w:r>
        <w:rPr>
          <w:rFonts w:eastAsia="Times New Roman"/>
        </w:rPr>
        <w:t xml:space="preserve"> several baccalaureate degrees</w:t>
      </w:r>
      <w:r w:rsidR="00B26290">
        <w:rPr>
          <w:rFonts w:eastAsia="Times New Roman"/>
        </w:rPr>
        <w:t xml:space="preserve"> focused on meeting the needs of the regional economy</w:t>
      </w:r>
      <w:r>
        <w:rPr>
          <w:rFonts w:eastAsia="Times New Roman"/>
        </w:rPr>
        <w:t>, including computer and information technology, nursing, criminal justice, engineering tech</w:t>
      </w:r>
      <w:r w:rsidR="00E710CB">
        <w:rPr>
          <w:rFonts w:eastAsia="Times New Roman"/>
        </w:rPr>
        <w:t xml:space="preserve">nology, business technology, integrative studies, </w:t>
      </w:r>
      <w:r>
        <w:rPr>
          <w:rFonts w:eastAsia="Times New Roman"/>
        </w:rPr>
        <w:t>forensic science</w:t>
      </w:r>
      <w:r w:rsidR="00246690">
        <w:rPr>
          <w:rFonts w:eastAsia="Times New Roman"/>
        </w:rPr>
        <w:t>,</w:t>
      </w:r>
      <w:r>
        <w:rPr>
          <w:rFonts w:eastAsia="Times New Roman"/>
        </w:rPr>
        <w:t xml:space="preserve"> and community and regional develop</w:t>
      </w:r>
      <w:r w:rsidR="00E710CB">
        <w:rPr>
          <w:rFonts w:eastAsia="Times New Roman"/>
        </w:rPr>
        <w:t>ment</w:t>
      </w:r>
      <w:r>
        <w:rPr>
          <w:rFonts w:eastAsia="Times New Roman"/>
        </w:rPr>
        <w:t xml:space="preserve">. </w:t>
      </w:r>
    </w:p>
    <w:p w:rsidR="001E37BD" w:rsidRDefault="00870572" w:rsidP="000A61D8">
      <w:pPr>
        <w:rPr>
          <w:rFonts w:eastAsia="Times New Roman"/>
        </w:rPr>
      </w:pPr>
      <w:r>
        <w:rPr>
          <w:rFonts w:eastAsia="Times New Roman"/>
        </w:rPr>
        <w:t>In 2014, Miami received from the O</w:t>
      </w:r>
      <w:r w:rsidR="00F636B4">
        <w:rPr>
          <w:rFonts w:eastAsia="Times New Roman"/>
        </w:rPr>
        <w:t xml:space="preserve">hio Board of Regents </w:t>
      </w:r>
      <w:r>
        <w:rPr>
          <w:rFonts w:eastAsia="Times New Roman"/>
        </w:rPr>
        <w:t>an</w:t>
      </w:r>
      <w:r w:rsidR="001E37BD">
        <w:rPr>
          <w:rFonts w:eastAsia="Times New Roman"/>
        </w:rPr>
        <w:t xml:space="preserve"> </w:t>
      </w:r>
      <w:r w:rsidR="00DF59C5">
        <w:rPr>
          <w:rFonts w:eastAsia="Times New Roman"/>
        </w:rPr>
        <w:t>“</w:t>
      </w:r>
      <w:r w:rsidR="001E37BD">
        <w:rPr>
          <w:rFonts w:eastAsia="Times New Roman"/>
        </w:rPr>
        <w:t>Ohio Mean</w:t>
      </w:r>
      <w:r>
        <w:rPr>
          <w:rFonts w:eastAsia="Times New Roman"/>
        </w:rPr>
        <w:t>s Internships &amp; Co-ops</w:t>
      </w:r>
      <w:r w:rsidR="00DF59C5">
        <w:rPr>
          <w:rFonts w:eastAsia="Times New Roman"/>
        </w:rPr>
        <w:t>”</w:t>
      </w:r>
      <w:r>
        <w:rPr>
          <w:rFonts w:eastAsia="Times New Roman"/>
        </w:rPr>
        <w:t xml:space="preserve"> grant</w:t>
      </w:r>
      <w:r w:rsidR="001E37BD">
        <w:rPr>
          <w:rFonts w:eastAsia="Times New Roman"/>
        </w:rPr>
        <w:t xml:space="preserve"> fo</w:t>
      </w:r>
      <w:r>
        <w:rPr>
          <w:rFonts w:eastAsia="Times New Roman"/>
        </w:rPr>
        <w:t>r $748,566.  The grant</w:t>
      </w:r>
      <w:r w:rsidR="001E37BD">
        <w:rPr>
          <w:rFonts w:eastAsia="Times New Roman"/>
        </w:rPr>
        <w:t xml:space="preserve"> is designed to support key Ohio industries</w:t>
      </w:r>
      <w:r w:rsidR="000A61D8">
        <w:rPr>
          <w:rFonts w:eastAsia="Times New Roman"/>
        </w:rPr>
        <w:t xml:space="preserve"> through the creation of</w:t>
      </w:r>
      <w:r w:rsidR="001E37BD">
        <w:rPr>
          <w:rFonts w:eastAsia="Times New Roman"/>
        </w:rPr>
        <w:t xml:space="preserve"> 118 new co-op and internship placements in Ohio and </w:t>
      </w:r>
      <w:r w:rsidR="000A61D8">
        <w:rPr>
          <w:rFonts w:eastAsia="Times New Roman"/>
        </w:rPr>
        <w:t xml:space="preserve">the </w:t>
      </w:r>
      <w:r w:rsidR="00276F14">
        <w:rPr>
          <w:rFonts w:eastAsia="Times New Roman"/>
        </w:rPr>
        <w:t>institution</w:t>
      </w:r>
      <w:r w:rsidR="001E37BD">
        <w:rPr>
          <w:rFonts w:eastAsia="Times New Roman"/>
        </w:rPr>
        <w:t xml:space="preserve"> </w:t>
      </w:r>
      <w:r w:rsidR="000A61D8">
        <w:rPr>
          <w:rFonts w:eastAsia="Times New Roman"/>
        </w:rPr>
        <w:t xml:space="preserve">of </w:t>
      </w:r>
      <w:r w:rsidR="00FB25F5">
        <w:rPr>
          <w:rFonts w:eastAsia="Times New Roman"/>
        </w:rPr>
        <w:t>a formalized, transcript-based</w:t>
      </w:r>
      <w:r w:rsidR="001E37BD">
        <w:rPr>
          <w:rFonts w:eastAsia="Times New Roman"/>
        </w:rPr>
        <w:t xml:space="preserve"> internship system to </w:t>
      </w:r>
      <w:r w:rsidR="00E66ABE">
        <w:rPr>
          <w:rFonts w:eastAsia="Times New Roman"/>
        </w:rPr>
        <w:t>evaluate internships and foster</w:t>
      </w:r>
      <w:r w:rsidR="001E37BD">
        <w:rPr>
          <w:rFonts w:eastAsia="Times New Roman"/>
        </w:rPr>
        <w:t xml:space="preserve"> sustainable capacity in providing co-ops and internships.  </w:t>
      </w:r>
      <w:r w:rsidR="00F636B4">
        <w:rPr>
          <w:rFonts w:eastAsia="Times New Roman"/>
        </w:rPr>
        <w:t>Miami has revised the existing credit value range of internship courses to reflect the OBOR initiative.</w:t>
      </w:r>
    </w:p>
    <w:p w:rsidR="00246690" w:rsidRDefault="00653BD2" w:rsidP="00B26EFA">
      <w:r w:rsidRPr="00B26EFA">
        <w:lastRenderedPageBreak/>
        <w:t>The</w:t>
      </w:r>
      <w:r w:rsidR="00182A12">
        <w:t xml:space="preserve"> </w:t>
      </w:r>
      <w:r w:rsidRPr="00B26EFA">
        <w:t>revised Global Miami Plan includes a new experiential learning requirement</w:t>
      </w:r>
      <w:r w:rsidR="00246690">
        <w:t xml:space="preserve"> in which students receive credit for service learning, internships, student teaching, co-ops, and community engagement</w:t>
      </w:r>
      <w:r w:rsidR="00CE7FB4">
        <w:t xml:space="preserve">. Additionally, </w:t>
      </w:r>
      <w:r w:rsidR="006E00DB" w:rsidRPr="00B26EFA">
        <w:t>Miami has a l</w:t>
      </w:r>
      <w:r w:rsidR="003F6322" w:rsidRPr="00B26EFA">
        <w:t xml:space="preserve">ong history of </w:t>
      </w:r>
      <w:r w:rsidR="001319EE">
        <w:t>promoting cl</w:t>
      </w:r>
      <w:r w:rsidR="00246690">
        <w:t>ient-based projects in its curriculum</w:t>
      </w:r>
      <w:r w:rsidR="00CE7FB4" w:rsidRPr="00CE7FB4">
        <w:t xml:space="preserve"> </w:t>
      </w:r>
      <w:r w:rsidR="00CE7FB4">
        <w:t>through its capstone requirement</w:t>
      </w:r>
      <w:r w:rsidR="003F6322" w:rsidRPr="00B26EFA">
        <w:t xml:space="preserve">.  </w:t>
      </w:r>
    </w:p>
    <w:p w:rsidR="003F6322" w:rsidRDefault="00246690" w:rsidP="00B26EFA">
      <w:r>
        <w:t xml:space="preserve">Because of its focus on experiential learning, </w:t>
      </w:r>
      <w:r w:rsidR="00681405">
        <w:t xml:space="preserve">in 2010, </w:t>
      </w:r>
      <w:r w:rsidR="003F6322" w:rsidRPr="00B26EFA">
        <w:t xml:space="preserve">Miami </w:t>
      </w:r>
      <w:r w:rsidR="00DF59C5">
        <w:t>was the only public institution in Ohio</w:t>
      </w:r>
      <w:r w:rsidR="003F6322" w:rsidRPr="00B26EFA">
        <w:t xml:space="preserve"> to receive the prestigious</w:t>
      </w:r>
      <w:r w:rsidR="003F6322" w:rsidRPr="00B26EFA">
        <w:rPr>
          <w:rStyle w:val="apple-converted-space"/>
        </w:rPr>
        <w:t> </w:t>
      </w:r>
      <w:r w:rsidR="006B3FF3">
        <w:fldChar w:fldCharType="begin"/>
      </w:r>
      <w:r w:rsidR="006B3FF3">
        <w:instrText xml:space="preserve"> HYPERLINK "http://classifications.carnegiefoundation.org/" \t "_blank" </w:instrText>
      </w:r>
      <w:r w:rsidR="006B3FF3">
        <w:fldChar w:fldCharType="separate"/>
      </w:r>
      <w:r w:rsidR="003F6322" w:rsidRPr="00B26EFA">
        <w:rPr>
          <w:rStyle w:val="Hyperlink"/>
          <w:color w:val="auto"/>
          <w:u w:val="none"/>
        </w:rPr>
        <w:t>Carnegie Classification for Community Engagement</w:t>
      </w:r>
      <w:r w:rsidR="006B3FF3">
        <w:rPr>
          <w:rStyle w:val="Hyperlink"/>
          <w:color w:val="auto"/>
          <w:u w:val="none"/>
        </w:rPr>
        <w:fldChar w:fldCharType="end"/>
      </w:r>
      <w:r w:rsidR="00B26EFA">
        <w:t xml:space="preserve"> (a</w:t>
      </w:r>
      <w:r w:rsidR="003F6322" w:rsidRPr="00B26EFA">
        <w:t xml:space="preserve"> classification</w:t>
      </w:r>
      <w:r w:rsidR="00B26EFA">
        <w:t xml:space="preserve"> which </w:t>
      </w:r>
      <w:r w:rsidR="003F6322" w:rsidRPr="00B26EFA">
        <w:t>is effective for 10 years</w:t>
      </w:r>
      <w:r w:rsidR="00B26EFA">
        <w:t>)</w:t>
      </w:r>
      <w:r w:rsidR="003F6322" w:rsidRPr="00B26EFA">
        <w:t>.</w:t>
      </w:r>
      <w:r w:rsidR="00B26EFA">
        <w:t xml:space="preserve"> </w:t>
      </w:r>
      <w:r w:rsidR="003F6322" w:rsidRPr="00B26EFA">
        <w:t>Miami has been named to</w:t>
      </w:r>
      <w:r w:rsidR="003F6322" w:rsidRPr="00B26EFA">
        <w:rPr>
          <w:rStyle w:val="apple-converted-space"/>
        </w:rPr>
        <w:t> </w:t>
      </w:r>
      <w:r w:rsidR="006B3FF3">
        <w:fldChar w:fldCharType="begin"/>
      </w:r>
      <w:r w:rsidR="006B3FF3">
        <w:instrText xml:space="preserve"> HYPERLINK "http://www.nationalservice.gov/special-initiatives/honor-roll" \t "_blank" </w:instrText>
      </w:r>
      <w:r w:rsidR="006B3FF3">
        <w:fldChar w:fldCharType="separate"/>
      </w:r>
      <w:r w:rsidR="003F6322" w:rsidRPr="00B26EFA">
        <w:rPr>
          <w:rStyle w:val="Hyperlink"/>
          <w:color w:val="auto"/>
          <w:u w:val="none"/>
        </w:rPr>
        <w:t>The President's Higher Education Community Service Honor Roll</w:t>
      </w:r>
      <w:r w:rsidR="006B3FF3">
        <w:rPr>
          <w:rStyle w:val="Hyperlink"/>
          <w:color w:val="auto"/>
          <w:u w:val="none"/>
        </w:rPr>
        <w:fldChar w:fldCharType="end"/>
      </w:r>
      <w:r w:rsidR="003F6322" w:rsidRPr="00B26EFA">
        <w:rPr>
          <w:rStyle w:val="apple-converted-space"/>
        </w:rPr>
        <w:t> </w:t>
      </w:r>
      <w:r w:rsidR="003F6322" w:rsidRPr="00B26EFA">
        <w:t>every year, since its initial entry in 2007.</w:t>
      </w:r>
      <w:r w:rsidR="003F6322" w:rsidRPr="00B26EFA">
        <w:rPr>
          <w:rStyle w:val="apple-converted-space"/>
        </w:rPr>
        <w:t> </w:t>
      </w:r>
      <w:r w:rsidR="003F6322" w:rsidRPr="00B26EFA">
        <w:rPr>
          <w:rStyle w:val="Strong"/>
          <w:b w:val="0"/>
          <w:bCs w:val="0"/>
        </w:rPr>
        <w:t>In 2012, Miami was recognized as one of only five recipients of The Presidential Award</w:t>
      </w:r>
      <w:r w:rsidR="003F6322" w:rsidRPr="00B26EFA">
        <w:rPr>
          <w:rStyle w:val="apple-converted-space"/>
        </w:rPr>
        <w:t> </w:t>
      </w:r>
      <w:r w:rsidR="003F6322" w:rsidRPr="00B26EFA">
        <w:t>(Special Focu</w:t>
      </w:r>
      <w:r w:rsidR="00182A12">
        <w:t>s: Early Childhood Education); a</w:t>
      </w:r>
      <w:r w:rsidR="003F6322" w:rsidRPr="00B26EFA">
        <w:t xml:space="preserve">nd in 2013, Miami was named to the </w:t>
      </w:r>
      <w:r w:rsidR="00CE7FB4">
        <w:t xml:space="preserve">President’s Higher Education Community Service </w:t>
      </w:r>
      <w:r w:rsidR="003F6322" w:rsidRPr="00B26EFA">
        <w:t>Honor Roll with Distinction.</w:t>
      </w:r>
    </w:p>
    <w:p w:rsidR="00276F14" w:rsidRPr="001A3D92" w:rsidRDefault="00EE4E74" w:rsidP="001A3680">
      <w:pPr>
        <w:rPr>
          <w:rFonts w:cstheme="minorHAnsi"/>
        </w:rPr>
      </w:pPr>
      <w:r w:rsidRPr="001A3680">
        <w:t xml:space="preserve">Miami has also taken strides to increase </w:t>
      </w:r>
      <w:r w:rsidR="00331E09">
        <w:t xml:space="preserve">its </w:t>
      </w:r>
      <w:r w:rsidRPr="001A3680">
        <w:t>educational access</w:t>
      </w:r>
      <w:r w:rsidR="00F56CA1">
        <w:t xml:space="preserve"> in order to serve the citizens of Ohio and the nation</w:t>
      </w:r>
      <w:r w:rsidR="00200985">
        <w:t xml:space="preserve"> through</w:t>
      </w:r>
      <w:r w:rsidR="00681405">
        <w:t xml:space="preserve"> </w:t>
      </w:r>
      <w:r w:rsidR="008E55A2">
        <w:t>new scholarships</w:t>
      </w:r>
      <w:r w:rsidR="00681405">
        <w:t>, greater outreach, and enhanced</w:t>
      </w:r>
      <w:r w:rsidR="00200985">
        <w:t xml:space="preserve"> support structures</w:t>
      </w:r>
      <w:r w:rsidRPr="001A3680">
        <w:t xml:space="preserve">.  In </w:t>
      </w:r>
      <w:r w:rsidR="001A3680">
        <w:t>2007</w:t>
      </w:r>
      <w:r w:rsidR="001A3680" w:rsidRPr="001A3680">
        <w:t>, Miami instituted the Miami ACCESS Initiative wh</w:t>
      </w:r>
      <w:r w:rsidR="00F56CA1">
        <w:t>ich is a grants and scholarship</w:t>
      </w:r>
      <w:r w:rsidR="001A3680" w:rsidRPr="001A3680">
        <w:t xml:space="preserve"> program for Ohio residents designed to help make Miami University accessible to new first-year academically competitive students who have total family income that is</w:t>
      </w:r>
      <w:r w:rsidR="00681405">
        <w:t xml:space="preserve"> equal to or less than $35,000</w:t>
      </w:r>
      <w:r w:rsidR="00DF5400">
        <w:t>. Launched in 2013, t</w:t>
      </w:r>
      <w:r w:rsidR="008E55A2">
        <w:t>he Oxf</w:t>
      </w:r>
      <w:r w:rsidR="00DF5400">
        <w:t>ord Pathway Program</w:t>
      </w:r>
      <w:r w:rsidR="001A3D92">
        <w:t xml:space="preserve"> is a</w:t>
      </w:r>
      <w:r w:rsidR="00DF5400">
        <w:t>n</w:t>
      </w:r>
      <w:r w:rsidR="001A3D92">
        <w:t xml:space="preserve"> intensive learning program for students within the southwest Ohio region who have solid academic records but are not admitted immediately to the Oxford campus.  Students admitted into the program enroll in classes and are offered enhanced academic support during the fall term at the Hamilton or Middletown campu</w:t>
      </w:r>
      <w:r w:rsidR="007A7071">
        <w:t>s</w:t>
      </w:r>
      <w:r w:rsidR="001A3D92">
        <w:t xml:space="preserve">.  Upon successful completion of the program requirements, they are admitted as fully matriculated students on the Oxford campus starting in the spring semester of their first year.  </w:t>
      </w:r>
      <w:r w:rsidR="00276F14" w:rsidRPr="001A3680">
        <w:t xml:space="preserve">In 2014, Miami was </w:t>
      </w:r>
      <w:r w:rsidR="00F636B4">
        <w:t xml:space="preserve">once again </w:t>
      </w:r>
      <w:r w:rsidR="00276F14" w:rsidRPr="001A3680">
        <w:t>named a “military friendly” school</w:t>
      </w:r>
      <w:r w:rsidRPr="001A3680">
        <w:t xml:space="preserve"> by Victory Media for its capacity to offer </w:t>
      </w:r>
      <w:r w:rsidR="00276F14" w:rsidRPr="001A3680">
        <w:t>military support on campus, academic credit for military service, flexibility for military students</w:t>
      </w:r>
      <w:r w:rsidR="00CC0CE8">
        <w:t>,</w:t>
      </w:r>
      <w:r w:rsidR="00276F14" w:rsidRPr="001A3680">
        <w:t xml:space="preserve"> and veteran graduation rates.</w:t>
      </w:r>
      <w:r w:rsidR="003B5A11">
        <w:t xml:space="preserve"> </w:t>
      </w:r>
    </w:p>
    <w:p w:rsidR="00BC693C" w:rsidRDefault="00331E09" w:rsidP="004817C4">
      <w:r>
        <w:t xml:space="preserve">Through the efforts of a new </w:t>
      </w:r>
      <w:r w:rsidR="00F56CA1">
        <w:t xml:space="preserve">university-level </w:t>
      </w:r>
      <w:r>
        <w:t>academic partnerships committee formed in 2013, n</w:t>
      </w:r>
      <w:r w:rsidR="00BC693C">
        <w:t>ew</w:t>
      </w:r>
      <w:r>
        <w:t xml:space="preserve"> proced</w:t>
      </w:r>
      <w:r w:rsidR="002E23ED">
        <w:t xml:space="preserve">ures for developing </w:t>
      </w:r>
      <w:r w:rsidR="00BC693C">
        <w:t xml:space="preserve">memoranda of understanding and articulation agreements have been formed with two-year colleges and universities, such as Columbus State Community College and Sinclair Community </w:t>
      </w:r>
      <w:r w:rsidR="004817C4">
        <w:t>College, and Miami has received approval from the Ohio Board of Regents for the Ohio Transfer Module, 180</w:t>
      </w:r>
      <w:r w:rsidR="00BC693C">
        <w:t xml:space="preserve"> transfer assurance guides (TAGs)</w:t>
      </w:r>
      <w:r w:rsidR="008972A4">
        <w:t xml:space="preserve"> (which are introductory level course equivalencies)</w:t>
      </w:r>
      <w:r w:rsidR="00182A12">
        <w:t xml:space="preserve"> as well as dozens of advanced p</w:t>
      </w:r>
      <w:r w:rsidR="00BC693C">
        <w:t xml:space="preserve">lacement </w:t>
      </w:r>
      <w:r w:rsidR="008972A4">
        <w:t>guidelines</w:t>
      </w:r>
      <w:r w:rsidR="00BC693C">
        <w:t xml:space="preserve"> </w:t>
      </w:r>
      <w:r w:rsidR="004817C4">
        <w:t>so that students</w:t>
      </w:r>
      <w:r w:rsidR="00F56CA1">
        <w:t xml:space="preserve"> can more easily transfer from Ohio and other</w:t>
      </w:r>
      <w:r w:rsidR="004817C4">
        <w:t xml:space="preserve"> institutions and receive college credit more readily.  </w:t>
      </w:r>
      <w:r w:rsidR="00182A12">
        <w:t>In 2014, Miami submitted a university completion p</w:t>
      </w:r>
      <w:r w:rsidR="00BC693C">
        <w:t>lan</w:t>
      </w:r>
      <w:r w:rsidR="008972A4">
        <w:t xml:space="preserve"> to the Ohio Board of Regents</w:t>
      </w:r>
      <w:r w:rsidR="00BC693C">
        <w:t xml:space="preserve"> that was grounded in the academi</w:t>
      </w:r>
      <w:r w:rsidR="00182A12">
        <w:t>c mission of the u</w:t>
      </w:r>
      <w:r w:rsidR="008972A4">
        <w:t xml:space="preserve">niversity, </w:t>
      </w:r>
      <w:r w:rsidR="00BC693C">
        <w:t>guided by t</w:t>
      </w:r>
      <w:r w:rsidR="008972A4">
        <w:t>he goals set forth by the state, and designed to improve access and degree completion.</w:t>
      </w:r>
      <w:r w:rsidR="00200985">
        <w:t xml:space="preserve"> Additional discussion of support structures for attracting and retainin</w:t>
      </w:r>
      <w:r w:rsidR="00DF5AB0">
        <w:t>g students will be discussed in 4.C of this document.</w:t>
      </w:r>
    </w:p>
    <w:p w:rsidR="00901C09" w:rsidRPr="00C52283" w:rsidRDefault="00F95AA4" w:rsidP="00A224DC">
      <w:pPr>
        <w:rPr>
          <w:rStyle w:val="style76"/>
          <w:rFonts w:ascii="Calibri" w:hAnsi="Calibri" w:cs="Calibri"/>
        </w:rPr>
      </w:pPr>
      <w:r w:rsidRPr="002808AA">
        <w:t xml:space="preserve">To better meet the needs of another </w:t>
      </w:r>
      <w:r w:rsidR="00035A4C" w:rsidRPr="002808AA">
        <w:t>key constituency</w:t>
      </w:r>
      <w:r w:rsidRPr="002808AA">
        <w:t xml:space="preserve">, </w:t>
      </w:r>
      <w:r w:rsidR="00901C09" w:rsidRPr="002808AA">
        <w:t>Miami has take</w:t>
      </w:r>
      <w:r w:rsidR="00CC0CE8">
        <w:t xml:space="preserve">n strides to increase </w:t>
      </w:r>
      <w:r w:rsidR="00901C09" w:rsidRPr="002808AA">
        <w:t xml:space="preserve">opportunities for </w:t>
      </w:r>
      <w:r w:rsidR="00CC0CE8">
        <w:t xml:space="preserve">staff </w:t>
      </w:r>
      <w:r w:rsidR="002808AA">
        <w:t xml:space="preserve">growth and well-being. </w:t>
      </w:r>
      <w:r w:rsidR="00012F38" w:rsidRPr="002808AA">
        <w:t>The first foundational goal of the Miami 2020 Plan focuses on promoting a</w:t>
      </w:r>
      <w:r w:rsidR="009529A3">
        <w:t xml:space="preserve"> “</w:t>
      </w:r>
      <w:r w:rsidR="00012F38" w:rsidRPr="002808AA">
        <w:t>forward-looking, efficient and caring”</w:t>
      </w:r>
      <w:r w:rsidR="00C159B5" w:rsidRPr="002808AA">
        <w:t xml:space="preserve"> work environment.  In 2009, an ad hoc university</w:t>
      </w:r>
      <w:r w:rsidR="00035A4C" w:rsidRPr="002808AA">
        <w:t xml:space="preserve"> committee revised the </w:t>
      </w:r>
      <w:r w:rsidR="00A224DC">
        <w:t xml:space="preserve">staff </w:t>
      </w:r>
      <w:r w:rsidR="00C159B5" w:rsidRPr="002808AA">
        <w:t>performance appraisal</w:t>
      </w:r>
      <w:r w:rsidR="00A224DC">
        <w:t xml:space="preserve"> forms</w:t>
      </w:r>
      <w:r w:rsidR="00C159B5" w:rsidRPr="002808AA">
        <w:t xml:space="preserve"> to focus more fully on core</w:t>
      </w:r>
      <w:r w:rsidR="00035A4C" w:rsidRPr="002808AA">
        <w:t xml:space="preserve"> values of the institution</w:t>
      </w:r>
      <w:r w:rsidR="00C159B5" w:rsidRPr="002808AA">
        <w:t xml:space="preserve"> and to provide more in-depth feedback for professional growth</w:t>
      </w:r>
      <w:r w:rsidR="00035A4C" w:rsidRPr="002808AA">
        <w:t xml:space="preserve">.  </w:t>
      </w:r>
      <w:r w:rsidR="00C52283" w:rsidRPr="002808AA">
        <w:t>In 2011, a new job enrichment program was created to help classified (hourly) staff become more aware of their strengths and talents in relation to specif</w:t>
      </w:r>
      <w:r w:rsidR="00692EDE">
        <w:t>ic career opportunities at the u</w:t>
      </w:r>
      <w:r w:rsidR="00C52283" w:rsidRPr="002808AA">
        <w:t>niversity</w:t>
      </w:r>
      <w:r w:rsidR="00A3287F" w:rsidRPr="002808AA">
        <w:t>, and in the same year, the Institute for Miami</w:t>
      </w:r>
      <w:r w:rsidR="00A71B47">
        <w:t xml:space="preserve"> Leadership Development was</w:t>
      </w:r>
      <w:r w:rsidR="00A3287F" w:rsidRPr="002808AA">
        <w:t xml:space="preserve"> launched to improve leadership potential among Miami faculty and staff</w:t>
      </w:r>
      <w:r w:rsidR="007435AF" w:rsidRPr="002808AA">
        <w:t>.  A Lean Leader</w:t>
      </w:r>
      <w:r w:rsidR="00C52283" w:rsidRPr="002808AA">
        <w:t xml:space="preserve"> Certificate program</w:t>
      </w:r>
      <w:r w:rsidR="007435AF" w:rsidRPr="002808AA">
        <w:t xml:space="preserve"> for staff</w:t>
      </w:r>
      <w:r w:rsidR="00C52283" w:rsidRPr="002808AA">
        <w:t xml:space="preserve"> was instituted</w:t>
      </w:r>
      <w:r w:rsidR="007435AF" w:rsidRPr="002808AA">
        <w:t xml:space="preserve"> in 2013 to instill leadership skills and the knowledge to create a sustainable lean environment.</w:t>
      </w:r>
      <w:r w:rsidR="00C52283" w:rsidRPr="002808AA">
        <w:t xml:space="preserve"> </w:t>
      </w:r>
      <w:r w:rsidR="00D82F04" w:rsidRPr="002808AA">
        <w:t xml:space="preserve">Opened in 2012, the </w:t>
      </w:r>
      <w:r w:rsidR="00901C09" w:rsidRPr="002808AA">
        <w:t>Miami Convenient Care Clin</w:t>
      </w:r>
      <w:r w:rsidR="00A224DC">
        <w:t xml:space="preserve">ic </w:t>
      </w:r>
      <w:r w:rsidR="00D82F04" w:rsidRPr="002808AA">
        <w:t xml:space="preserve">provides </w:t>
      </w:r>
      <w:r w:rsidR="00901C09" w:rsidRPr="002808AA">
        <w:t>Miami employees and their dependents covered u</w:t>
      </w:r>
      <w:r w:rsidR="00D82F04" w:rsidRPr="002808AA">
        <w:t>nder</w:t>
      </w:r>
      <w:r w:rsidR="00D82F04" w:rsidRPr="00574D55">
        <w:t xml:space="preserve"> the university health plan </w:t>
      </w:r>
      <w:r w:rsidR="004345DA">
        <w:t xml:space="preserve">routine </w:t>
      </w:r>
      <w:r w:rsidR="00901C09" w:rsidRPr="00574D55">
        <w:t xml:space="preserve">healthcare services at no cost with extended hours. </w:t>
      </w:r>
      <w:r w:rsidR="00574D55" w:rsidRPr="00574D55">
        <w:t>F</w:t>
      </w:r>
      <w:r w:rsidR="00765DB1" w:rsidRPr="00574D55">
        <w:t>itness centers, with employee-only hours, are available on the Hamilton, Middletown</w:t>
      </w:r>
      <w:r w:rsidR="00CF3219">
        <w:t>,</w:t>
      </w:r>
      <w:r w:rsidR="00765DB1" w:rsidRPr="00574D55">
        <w:t xml:space="preserve"> and Oxford c</w:t>
      </w:r>
      <w:r w:rsidR="00574D55" w:rsidRPr="00574D55">
        <w:t>ampuses, and fitness opportunities (including health coaching, tobacco cessation programs, and nutrition and wellness programs) are available to all staff and faculty.</w:t>
      </w:r>
      <w:r w:rsidR="00574D55">
        <w:t xml:space="preserve">  </w:t>
      </w:r>
      <w:r w:rsidR="00765DB1" w:rsidRPr="00765DB1">
        <w:t xml:space="preserve">In addition, </w:t>
      </w:r>
      <w:r w:rsidR="00765DB1" w:rsidRPr="00765DB1">
        <w:lastRenderedPageBreak/>
        <w:t xml:space="preserve">Miami offers </w:t>
      </w:r>
      <w:r w:rsidR="00D82F04" w:rsidRPr="00765DB1">
        <w:rPr>
          <w:rStyle w:val="style76"/>
        </w:rPr>
        <w:t xml:space="preserve">eligible full-time </w:t>
      </w:r>
      <w:r w:rsidR="00EE6255">
        <w:rPr>
          <w:rStyle w:val="style76"/>
        </w:rPr>
        <w:t xml:space="preserve">and part-time </w:t>
      </w:r>
      <w:r w:rsidR="00D82F04" w:rsidRPr="00765DB1">
        <w:rPr>
          <w:rStyle w:val="style76"/>
        </w:rPr>
        <w:t>employees</w:t>
      </w:r>
      <w:r w:rsidR="00765DB1" w:rsidRPr="00765DB1">
        <w:rPr>
          <w:rStyle w:val="style76"/>
        </w:rPr>
        <w:t xml:space="preserve"> and their eligible dependents</w:t>
      </w:r>
      <w:r w:rsidR="00CF3219">
        <w:rPr>
          <w:rStyle w:val="style76"/>
        </w:rPr>
        <w:t xml:space="preserve"> a tuition fee w</w:t>
      </w:r>
      <w:r w:rsidR="00D82F04" w:rsidRPr="00765DB1">
        <w:rPr>
          <w:rStyle w:val="style76"/>
        </w:rPr>
        <w:t>aiver benefit f</w:t>
      </w:r>
      <w:r w:rsidR="00692EDE">
        <w:rPr>
          <w:rStyle w:val="style76"/>
        </w:rPr>
        <w:t>or courses taken at any of the u</w:t>
      </w:r>
      <w:r w:rsidR="00D82F04" w:rsidRPr="00765DB1">
        <w:rPr>
          <w:rStyle w:val="style76"/>
        </w:rPr>
        <w:t>niversity’s campuses. </w:t>
      </w:r>
    </w:p>
    <w:p w:rsidR="00540FD9" w:rsidRPr="00C43E0C" w:rsidRDefault="00F95AA4" w:rsidP="00C43E0C">
      <w:r w:rsidRPr="00C43E0C">
        <w:rPr>
          <w:rStyle w:val="style76"/>
        </w:rPr>
        <w:t xml:space="preserve">Finally, Miami is </w:t>
      </w:r>
      <w:r w:rsidR="001C4E76" w:rsidRPr="00C43E0C">
        <w:rPr>
          <w:rStyle w:val="style76"/>
        </w:rPr>
        <w:t>committed to engaging alumni m</w:t>
      </w:r>
      <w:r w:rsidR="00A71B47">
        <w:rPr>
          <w:rStyle w:val="style76"/>
        </w:rPr>
        <w:t>eaningfully in the life of the u</w:t>
      </w:r>
      <w:r w:rsidR="001C4E76" w:rsidRPr="00C43E0C">
        <w:rPr>
          <w:rStyle w:val="style76"/>
        </w:rPr>
        <w:t>niversity and enriching their lifelong learning</w:t>
      </w:r>
      <w:r w:rsidR="00C43E0C" w:rsidRPr="00C43E0C">
        <w:rPr>
          <w:rStyle w:val="style76"/>
        </w:rPr>
        <w:t xml:space="preserve">.  </w:t>
      </w:r>
      <w:r w:rsidR="00540FD9" w:rsidRPr="00C43E0C">
        <w:t>Currently</w:t>
      </w:r>
      <w:r w:rsidR="00A71B47">
        <w:t>,</w:t>
      </w:r>
      <w:r w:rsidR="00540FD9" w:rsidRPr="00C43E0C">
        <w:t xml:space="preserve"> there are 206,000 alumni t</w:t>
      </w:r>
      <w:r w:rsidR="00A71B47">
        <w:t>hroughout the world.  The alumni o</w:t>
      </w:r>
      <w:r w:rsidR="00C43E0C" w:rsidRPr="00C43E0C">
        <w:t>ffice</w:t>
      </w:r>
      <w:r w:rsidR="00540FD9" w:rsidRPr="00C43E0C">
        <w:t xml:space="preserve"> provides support and direction to 47 re</w:t>
      </w:r>
      <w:r w:rsidR="00A71B47">
        <w:t>gionally-</w:t>
      </w:r>
      <w:r w:rsidR="00540FD9" w:rsidRPr="00C43E0C">
        <w:t>based alumni chapters and 39 affin</w:t>
      </w:r>
      <w:r w:rsidR="00CF3219">
        <w:t>ity groups and organizations.  Combined, t</w:t>
      </w:r>
      <w:r w:rsidR="00540FD9" w:rsidRPr="00C43E0C">
        <w:t>hese</w:t>
      </w:r>
      <w:r w:rsidR="00CF3219">
        <w:t xml:space="preserve"> chapters and groups </w:t>
      </w:r>
      <w:r w:rsidR="00540FD9" w:rsidRPr="00C43E0C">
        <w:t>host hundreds of activities throughout the year engaging thousands of alumni through social, educati</w:t>
      </w:r>
      <w:r w:rsidR="00C43E0C" w:rsidRPr="00C43E0C">
        <w:t>onal an</w:t>
      </w:r>
      <w:r w:rsidR="00A71B47">
        <w:t>d philanthropic programs</w:t>
      </w:r>
      <w:r w:rsidR="00C43E0C" w:rsidRPr="00C43E0C">
        <w:t xml:space="preserve">. </w:t>
      </w:r>
      <w:r w:rsidR="00540FD9" w:rsidRPr="00C43E0C">
        <w:t xml:space="preserve">Additionally, the </w:t>
      </w:r>
      <w:r w:rsidR="00150603">
        <w:t xml:space="preserve">Alumni </w:t>
      </w:r>
      <w:r w:rsidR="00540FD9" w:rsidRPr="00C43E0C">
        <w:t xml:space="preserve">Association annually hosts a reunion weekend focusing on alumni celebrating special anniversaries of graduation.  In 2014, over 1800 alumni, friends and family members returned to Oxford for the weekend of activities.  Activities included receptions and meals, continuing education programs, tours, and special group open houses and reunions.  </w:t>
      </w:r>
      <w:r w:rsidR="00150F1F">
        <w:t>Also, the u</w:t>
      </w:r>
      <w:r w:rsidR="00C43E0C" w:rsidRPr="00C43E0C">
        <w:t>niversity sponsors fifteen annual t</w:t>
      </w:r>
      <w:r w:rsidR="00540FD9" w:rsidRPr="00C43E0C">
        <w:t>ravel experiences, exposing alumni to a variety of cultures and international ex</w:t>
      </w:r>
      <w:r w:rsidR="00CF3219">
        <w:t>periences.  Domestically Miami organizes</w:t>
      </w:r>
      <w:r w:rsidR="00540FD9" w:rsidRPr="00C43E0C">
        <w:t xml:space="preserve"> a lifelong learning weekend (Winter College), as well as several one-day education experiences showcasing Miami faculty to our alumni.</w:t>
      </w:r>
    </w:p>
    <w:p w:rsidR="00540FD9" w:rsidRPr="00C43E0C" w:rsidRDefault="00540FD9" w:rsidP="00C43E0C">
      <w:r w:rsidRPr="00C43E0C">
        <w:t>Through ongoing benchmarking and evaluation of best practices, the A</w:t>
      </w:r>
      <w:r w:rsidR="001974DB">
        <w:t>lumni A</w:t>
      </w:r>
      <w:r w:rsidRPr="00C43E0C">
        <w:t>ssociation seeks to ensure that its activities and programming meet the changing needs of a diverse population.  Professional organization membership, conference attendance and survey participation all contribute to an ongoing process of reflection and study related to trends and advancements within the profession.  Additionally, in 2014</w:t>
      </w:r>
      <w:r w:rsidR="001974DB">
        <w:t>, ten</w:t>
      </w:r>
      <w:r w:rsidRPr="00C43E0C">
        <w:t xml:space="preserve"> project teams, comprised of alumni staff, campus partners and alumni</w:t>
      </w:r>
      <w:r w:rsidR="001974DB">
        <w:t>, undertook an intensive review of key programs.   These teams worked</w:t>
      </w:r>
      <w:r w:rsidRPr="00C43E0C">
        <w:t xml:space="preserve"> collaboratively alongside the </w:t>
      </w:r>
      <w:r w:rsidR="00150603">
        <w:t xml:space="preserve">Alumni </w:t>
      </w:r>
      <w:r w:rsidRPr="00C43E0C">
        <w:t>Association’s Board of Directors to evaluate departmental programs in light of changing technolo</w:t>
      </w:r>
      <w:r w:rsidR="00C43E0C" w:rsidRPr="00C43E0C">
        <w:t>gies and g</w:t>
      </w:r>
      <w:r w:rsidR="00150F1F">
        <w:t>enerational behaviors</w:t>
      </w:r>
      <w:r w:rsidR="00C43E0C" w:rsidRPr="00C43E0C">
        <w:t>.</w:t>
      </w:r>
    </w:p>
    <w:p w:rsidR="00C70BC2" w:rsidRDefault="00C70BC2" w:rsidP="00574D55">
      <w:r>
        <w:t>A comprehensive listing of engagement with external partners is beyond the scope of this document; however, the following examples illustrate Miami’s commitment to the public good:</w:t>
      </w:r>
    </w:p>
    <w:p w:rsidR="00BB4FF3" w:rsidRDefault="00BB4FF3" w:rsidP="000945E2">
      <w:pPr>
        <w:pStyle w:val="ListParagraph"/>
        <w:numPr>
          <w:ilvl w:val="0"/>
          <w:numId w:val="30"/>
        </w:numPr>
      </w:pPr>
      <w:r w:rsidRPr="00AB7898">
        <w:rPr>
          <w:b/>
        </w:rPr>
        <w:t>Continuing Education</w:t>
      </w:r>
      <w:r w:rsidR="00534303">
        <w:t xml:space="preserve"> coordinates </w:t>
      </w:r>
      <w:r w:rsidR="00534303" w:rsidRPr="00AB7898">
        <w:rPr>
          <w:shd w:val="clear" w:color="auto" w:fill="FFFFFF"/>
        </w:rPr>
        <w:t>a variety of credit and non-credit programs that fall outside the boundaries of a traditional degree program. It provides opportun</w:t>
      </w:r>
      <w:r w:rsidR="00150F1F">
        <w:rPr>
          <w:shd w:val="clear" w:color="auto" w:fill="FFFFFF"/>
        </w:rPr>
        <w:t>ities to take a course for</w:t>
      </w:r>
      <w:r w:rsidR="00534303" w:rsidRPr="00AB7898">
        <w:rPr>
          <w:shd w:val="clear" w:color="auto" w:fill="FFFFFF"/>
        </w:rPr>
        <w:t xml:space="preserve"> additional or upgraded job skills; explore a creative interest, or keep up with</w:t>
      </w:r>
      <w:r w:rsidR="00AB7898" w:rsidRPr="00AB7898">
        <w:rPr>
          <w:shd w:val="clear" w:color="auto" w:fill="FFFFFF"/>
        </w:rPr>
        <w:t xml:space="preserve"> certification requirements. Continuing education students</w:t>
      </w:r>
      <w:r w:rsidR="00534303" w:rsidRPr="00AB7898">
        <w:rPr>
          <w:shd w:val="clear" w:color="auto" w:fill="FFFFFF"/>
        </w:rPr>
        <w:t xml:space="preserve"> can study overseas in an intensive summer experience, e</w:t>
      </w:r>
      <w:r w:rsidR="00AB7898" w:rsidRPr="00AB7898">
        <w:rPr>
          <w:shd w:val="clear" w:color="auto" w:fill="FFFFFF"/>
        </w:rPr>
        <w:t>arn college credit while still enrolled in high school</w:t>
      </w:r>
      <w:r w:rsidR="00870B5D">
        <w:rPr>
          <w:shd w:val="clear" w:color="auto" w:fill="FFFFFF"/>
        </w:rPr>
        <w:t>, or jump-start</w:t>
      </w:r>
      <w:r w:rsidR="00534303" w:rsidRPr="00AB7898">
        <w:rPr>
          <w:shd w:val="clear" w:color="auto" w:fill="FFFFFF"/>
        </w:rPr>
        <w:t xml:space="preserve"> the academic year by enrolling in a summer workshop.</w:t>
      </w:r>
    </w:p>
    <w:p w:rsidR="00BB4FF3" w:rsidRDefault="00BB4FF3" w:rsidP="000945E2">
      <w:pPr>
        <w:pStyle w:val="ListParagraph"/>
        <w:numPr>
          <w:ilvl w:val="0"/>
          <w:numId w:val="29"/>
        </w:numPr>
      </w:pPr>
      <w:r w:rsidRPr="00237B90">
        <w:rPr>
          <w:b/>
        </w:rPr>
        <w:t>Office of Community Engagement &amp; Service</w:t>
      </w:r>
      <w:r w:rsidR="00150F1F">
        <w:t xml:space="preserve"> </w:t>
      </w:r>
      <w:r w:rsidR="00237B90">
        <w:t>serves as the catalyst for community involvement</w:t>
      </w:r>
      <w:r w:rsidR="00534303">
        <w:t xml:space="preserve"> on the Oxford campus</w:t>
      </w:r>
      <w:r w:rsidR="00237B90">
        <w:t>, including offering faculty development for service learning courses, providing students and faculty with community sites and</w:t>
      </w:r>
      <w:r w:rsidR="00534303">
        <w:t xml:space="preserve"> service learning</w:t>
      </w:r>
      <w:r w:rsidR="00237B90">
        <w:t xml:space="preserve"> opportunities, and promoting social justice and change.</w:t>
      </w:r>
    </w:p>
    <w:p w:rsidR="00BB4FF3" w:rsidRDefault="00BB4FF3" w:rsidP="000945E2">
      <w:pPr>
        <w:pStyle w:val="ListParagraph"/>
        <w:numPr>
          <w:ilvl w:val="0"/>
          <w:numId w:val="29"/>
        </w:numPr>
      </w:pPr>
      <w:r w:rsidRPr="009E230D">
        <w:rPr>
          <w:b/>
        </w:rPr>
        <w:t>Institute for Learning &amp; Retirement</w:t>
      </w:r>
      <w:r w:rsidR="00AB7898">
        <w:t xml:space="preserve"> provides opportunities for individuals who are 50 or older to enrich their lives as they explore areas within science, the arts, society, technology, literature, languages, or business.  </w:t>
      </w:r>
      <w:r w:rsidR="009E230D">
        <w:t>In addition, it offers opportunities to become acquainted with community needs and to link individual talents and interests to those needs.</w:t>
      </w:r>
      <w:r w:rsidR="00870B5D">
        <w:t xml:space="preserve"> </w:t>
      </w:r>
    </w:p>
    <w:p w:rsidR="005267FF" w:rsidRPr="0040199E" w:rsidRDefault="00BB4FF3" w:rsidP="000945E2">
      <w:pPr>
        <w:pStyle w:val="ListParagraph"/>
        <w:numPr>
          <w:ilvl w:val="0"/>
          <w:numId w:val="29"/>
        </w:numPr>
      </w:pPr>
      <w:r w:rsidRPr="009200EA">
        <w:rPr>
          <w:b/>
        </w:rPr>
        <w:t>Voice of America Learning Center</w:t>
      </w:r>
      <w:r w:rsidR="009E230D">
        <w:t xml:space="preserve"> is located midway between Cincinnati and Dayton and offers </w:t>
      </w:r>
      <w:r w:rsidR="00150603">
        <w:t xml:space="preserve">undergraduate courses, </w:t>
      </w:r>
      <w:r w:rsidR="00B832C2">
        <w:t>corporate training, teacher professional development, graduate certificat</w:t>
      </w:r>
      <w:r w:rsidR="00150603">
        <w:t>e programs</w:t>
      </w:r>
      <w:r w:rsidR="002C7CF3">
        <w:t>,</w:t>
      </w:r>
      <w:r w:rsidR="00150603">
        <w:t xml:space="preserve"> and a part-time professional </w:t>
      </w:r>
      <w:r w:rsidR="00B832C2">
        <w:t xml:space="preserve">MBA program.  Its facilities are also used </w:t>
      </w:r>
      <w:r w:rsidR="009200EA">
        <w:t xml:space="preserve">by area businesses, government agencies and non-profit organizations for meeting and training purposes. </w:t>
      </w:r>
      <w:r w:rsidR="009E230D" w:rsidRPr="009200EA">
        <w:t>Th</w:t>
      </w:r>
      <w:r w:rsidR="002C7CF3">
        <w:t>roughout the year the c</w:t>
      </w:r>
      <w:r w:rsidR="009E230D" w:rsidRPr="009200EA">
        <w:t xml:space="preserve">enter hosts a variety of cultural and community events, including a rotating series of art exhibitions and family-friendly theatrical presentations.  </w:t>
      </w:r>
      <w:r w:rsidR="009E230D" w:rsidRPr="0040199E">
        <w:t>Miami’s </w:t>
      </w:r>
      <w:hyperlink r:id="rId13" w:history="1">
        <w:r w:rsidR="009E230D" w:rsidRPr="0040199E">
          <w:t>Institute for Learning in Retirement</w:t>
        </w:r>
      </w:hyperlink>
      <w:r w:rsidR="009E230D" w:rsidRPr="0040199E">
        <w:t> holds classes at t</w:t>
      </w:r>
      <w:r w:rsidR="0040199E">
        <w:t>he Center</w:t>
      </w:r>
      <w:r w:rsidR="009E230D" w:rsidRPr="0040199E">
        <w:t>.</w:t>
      </w:r>
    </w:p>
    <w:p w:rsidR="005267FF" w:rsidRPr="005267FF" w:rsidRDefault="00BB4FF3" w:rsidP="000945E2">
      <w:pPr>
        <w:pStyle w:val="ListParagraph"/>
        <w:numPr>
          <w:ilvl w:val="0"/>
          <w:numId w:val="29"/>
        </w:numPr>
      </w:pPr>
      <w:r w:rsidRPr="005267FF">
        <w:rPr>
          <w:b/>
        </w:rPr>
        <w:t>Greentree</w:t>
      </w:r>
      <w:r w:rsidR="005267FF" w:rsidRPr="005267FF">
        <w:rPr>
          <w:b/>
        </w:rPr>
        <w:t xml:space="preserve"> Health Science Academy</w:t>
      </w:r>
      <w:r w:rsidR="002C7CF3">
        <w:rPr>
          <w:b/>
        </w:rPr>
        <w:t xml:space="preserve"> </w:t>
      </w:r>
      <w:r w:rsidR="005267FF" w:rsidRPr="005267FF">
        <w:t>(GHSA) is made possible by a partnership with the City of Middletown, Atrium Medical Center, Miam</w:t>
      </w:r>
      <w:r w:rsidR="004345DA">
        <w:t>i University, Warren County Car</w:t>
      </w:r>
      <w:r w:rsidR="005267FF" w:rsidRPr="005267FF">
        <w:t xml:space="preserve">eer Center, and Cincinnati State </w:t>
      </w:r>
      <w:r w:rsidR="005267FF" w:rsidRPr="005267FF">
        <w:lastRenderedPageBreak/>
        <w:t>Technic</w:t>
      </w:r>
      <w:r w:rsidR="002C7CF3">
        <w:t>al &amp; Community College. It</w:t>
      </w:r>
      <w:r w:rsidR="005267FF" w:rsidRPr="005267FF">
        <w:t xml:space="preserve"> is home to many of</w:t>
      </w:r>
      <w:r w:rsidR="005267FF" w:rsidRPr="005267FF">
        <w:rPr>
          <w:rStyle w:val="apple-converted-space"/>
        </w:rPr>
        <w:t> </w:t>
      </w:r>
      <w:r w:rsidR="002F6C4F">
        <w:rPr>
          <w:rStyle w:val="Strong"/>
          <w:b w:val="0"/>
          <w:bCs w:val="0"/>
        </w:rPr>
        <w:t>Miami</w:t>
      </w:r>
      <w:r w:rsidR="005267FF" w:rsidRPr="005267FF">
        <w:rPr>
          <w:rStyle w:val="Strong"/>
          <w:b w:val="0"/>
          <w:bCs w:val="0"/>
        </w:rPr>
        <w:t>'s</w:t>
      </w:r>
      <w:r w:rsidR="005267FF" w:rsidRPr="005267FF">
        <w:rPr>
          <w:rStyle w:val="apple-converted-space"/>
        </w:rPr>
        <w:t> </w:t>
      </w:r>
      <w:r w:rsidR="005267FF" w:rsidRPr="005267FF">
        <w:rPr>
          <w:rStyle w:val="Strong"/>
          <w:b w:val="0"/>
          <w:bCs w:val="0"/>
        </w:rPr>
        <w:t>nursing</w:t>
      </w:r>
      <w:r w:rsidR="005267FF" w:rsidRPr="005267FF">
        <w:rPr>
          <w:rStyle w:val="apple-converted-space"/>
        </w:rPr>
        <w:t> </w:t>
      </w:r>
      <w:r w:rsidR="005267FF" w:rsidRPr="005267FF">
        <w:t>and</w:t>
      </w:r>
      <w:r w:rsidR="005267FF" w:rsidRPr="005267FF">
        <w:rPr>
          <w:rStyle w:val="apple-converted-space"/>
        </w:rPr>
        <w:t> </w:t>
      </w:r>
      <w:r w:rsidR="005267FF" w:rsidRPr="005267FF">
        <w:rPr>
          <w:rStyle w:val="Strong"/>
          <w:b w:val="0"/>
          <w:bCs w:val="0"/>
        </w:rPr>
        <w:t>health science-related courses</w:t>
      </w:r>
      <w:r w:rsidR="002F6C4F">
        <w:t xml:space="preserve"> as well as a state-of-the-art nursing lab</w:t>
      </w:r>
      <w:r w:rsidR="005267FF" w:rsidRPr="005267FF">
        <w:t>. </w:t>
      </w:r>
    </w:p>
    <w:p w:rsidR="001A1CAF" w:rsidRDefault="001319EE" w:rsidP="000945E2">
      <w:pPr>
        <w:pStyle w:val="ListParagraph"/>
        <w:numPr>
          <w:ilvl w:val="0"/>
          <w:numId w:val="29"/>
        </w:numPr>
      </w:pPr>
      <w:r w:rsidRPr="0069377B">
        <w:rPr>
          <w:b/>
        </w:rPr>
        <w:t>Career Services</w:t>
      </w:r>
      <w:r w:rsidR="001010C9">
        <w:t xml:space="preserve"> provides </w:t>
      </w:r>
      <w:r w:rsidR="0069377B" w:rsidRPr="0069377B">
        <w:rPr>
          <w:shd w:val="clear" w:color="auto" w:fill="FFFFFF"/>
        </w:rPr>
        <w:t>undergraduate an</w:t>
      </w:r>
      <w:r w:rsidR="002E23ED">
        <w:rPr>
          <w:shd w:val="clear" w:color="auto" w:fill="FFFFFF"/>
        </w:rPr>
        <w:t xml:space="preserve">d graduate students </w:t>
      </w:r>
      <w:r w:rsidR="001010C9">
        <w:rPr>
          <w:shd w:val="clear" w:color="auto" w:fill="FFFFFF"/>
        </w:rPr>
        <w:t>with</w:t>
      </w:r>
      <w:r w:rsidR="0069377B" w:rsidRPr="0069377B">
        <w:rPr>
          <w:shd w:val="clear" w:color="auto" w:fill="FFFFFF"/>
        </w:rPr>
        <w:t xml:space="preserve"> career exploration and experiential learning to optimize their professional and personal potential through connections with employers and the Miami career community. It offers a wide range of programs and services,</w:t>
      </w:r>
      <w:r>
        <w:t xml:space="preserve"> including </w:t>
      </w:r>
      <w:r w:rsidR="0069377B">
        <w:t xml:space="preserve">the </w:t>
      </w:r>
      <w:r w:rsidR="00C70BC2">
        <w:t>Spring I</w:t>
      </w:r>
      <w:r w:rsidR="0069377B">
        <w:t>nternship &amp; Career Expo which hosts</w:t>
      </w:r>
      <w:r w:rsidR="00C70BC2">
        <w:t xml:space="preserve"> over 170 employer</w:t>
      </w:r>
      <w:r w:rsidR="001A1CAF">
        <w:t>s</w:t>
      </w:r>
      <w:r w:rsidR="001010C9">
        <w:t xml:space="preserve"> each year</w:t>
      </w:r>
      <w:r w:rsidR="009A498A">
        <w:t>.</w:t>
      </w:r>
    </w:p>
    <w:p w:rsidR="001319EE" w:rsidRPr="001A1CAF" w:rsidRDefault="001319EE" w:rsidP="000945E2">
      <w:pPr>
        <w:pStyle w:val="ListParagraph"/>
        <w:numPr>
          <w:ilvl w:val="0"/>
          <w:numId w:val="29"/>
        </w:numPr>
      </w:pPr>
      <w:r w:rsidRPr="001A1CAF">
        <w:rPr>
          <w:b/>
        </w:rPr>
        <w:t>Myaamia Center</w:t>
      </w:r>
      <w:r w:rsidR="009C100F">
        <w:t xml:space="preserve">, created in 2004 and </w:t>
      </w:r>
      <w:r w:rsidR="0040199E" w:rsidRPr="001A1CAF">
        <w:t>made possible in part by a National E</w:t>
      </w:r>
      <w:r w:rsidR="009C100F">
        <w:t>ndowment of the Arts grant, has</w:t>
      </w:r>
      <w:r w:rsidR="0040199E" w:rsidRPr="001A1CAF">
        <w:t xml:space="preserve"> </w:t>
      </w:r>
      <w:r w:rsidR="001A1CAF" w:rsidRPr="001A1CAF">
        <w:t>the mission of advancing</w:t>
      </w:r>
      <w:r w:rsidR="0040199E" w:rsidRPr="001A1CAF">
        <w:t xml:space="preserve"> the research needs of th</w:t>
      </w:r>
      <w:r w:rsidR="008F2789">
        <w:t>e Miami Tribe of Oklahoma with a f</w:t>
      </w:r>
      <w:r w:rsidR="0040199E" w:rsidRPr="001A1CAF">
        <w:t>ocus on Myaamia language, culture</w:t>
      </w:r>
      <w:r w:rsidR="0073290E">
        <w:t>,</w:t>
      </w:r>
      <w:r w:rsidR="0040199E" w:rsidRPr="001A1CAF">
        <w:t xml:space="preserve"> and history.</w:t>
      </w:r>
    </w:p>
    <w:p w:rsidR="00BB4FF3" w:rsidRPr="001A1CAF" w:rsidRDefault="001A1CAF" w:rsidP="000945E2">
      <w:pPr>
        <w:pStyle w:val="ListParagraph"/>
        <w:numPr>
          <w:ilvl w:val="0"/>
          <w:numId w:val="29"/>
        </w:numPr>
      </w:pPr>
      <w:r w:rsidRPr="001A1CAF">
        <w:rPr>
          <w:b/>
        </w:rPr>
        <w:t>Miami Hamilton</w:t>
      </w:r>
      <w:r w:rsidR="00BB4FF3" w:rsidRPr="001A1CAF">
        <w:rPr>
          <w:b/>
        </w:rPr>
        <w:t xml:space="preserve"> Downtown Center</w:t>
      </w:r>
      <w:r w:rsidRPr="001A1CAF">
        <w:t xml:space="preserve"> is a multi-use center for civic engagement and the arts, </w:t>
      </w:r>
      <w:r w:rsidR="002C7CF3">
        <w:t xml:space="preserve">with </w:t>
      </w:r>
      <w:r w:rsidRPr="001A1CAF">
        <w:t>live music, art displays, theatrical per</w:t>
      </w:r>
      <w:r w:rsidR="00A174D6">
        <w:t>formances, educational classes,</w:t>
      </w:r>
      <w:r w:rsidRPr="001A1CAF">
        <w:t xml:space="preserve"> lectures, and a convenient venue for scholarship activities and community meetings.</w:t>
      </w:r>
    </w:p>
    <w:p w:rsidR="00BB4FF3" w:rsidRDefault="00BB4FF3" w:rsidP="000945E2">
      <w:pPr>
        <w:pStyle w:val="ListParagraph"/>
        <w:numPr>
          <w:ilvl w:val="0"/>
          <w:numId w:val="29"/>
        </w:numPr>
      </w:pPr>
      <w:r w:rsidRPr="009A498A">
        <w:rPr>
          <w:b/>
        </w:rPr>
        <w:t>Urban Teaching Cohort</w:t>
      </w:r>
      <w:r w:rsidR="009A498A">
        <w:t xml:space="preserve"> is </w:t>
      </w:r>
      <w:r w:rsidR="009A498A" w:rsidRPr="009A498A">
        <w:rPr>
          <w:shd w:val="clear" w:color="auto" w:fill="FFFFFF"/>
        </w:rPr>
        <w:t>a community-based approach to teacher education. In this unique program, Miami faculty and students collaborate with high-need schools and community-based organizations to prepare teachers who are grounded in the life of the</w:t>
      </w:r>
      <w:r w:rsidR="00897EB5">
        <w:rPr>
          <w:shd w:val="clear" w:color="auto" w:fill="FFFFFF"/>
        </w:rPr>
        <w:t>ir</w:t>
      </w:r>
      <w:r w:rsidR="009A498A" w:rsidRPr="009A498A">
        <w:rPr>
          <w:shd w:val="clear" w:color="auto" w:fill="FFFFFF"/>
        </w:rPr>
        <w:t xml:space="preserve"> community.</w:t>
      </w:r>
      <w:r w:rsidR="0073290E">
        <w:rPr>
          <w:shd w:val="clear" w:color="auto" w:fill="FFFFFF"/>
        </w:rPr>
        <w:t xml:space="preserve"> </w:t>
      </w:r>
    </w:p>
    <w:p w:rsidR="00C03A04" w:rsidRDefault="00BB4FF3" w:rsidP="000945E2">
      <w:pPr>
        <w:pStyle w:val="ListParagraph"/>
        <w:numPr>
          <w:ilvl w:val="0"/>
          <w:numId w:val="29"/>
        </w:numPr>
        <w:rPr>
          <w:rStyle w:val="NoSpacingChar"/>
        </w:rPr>
      </w:pPr>
      <w:r w:rsidRPr="00C03A04">
        <w:rPr>
          <w:b/>
        </w:rPr>
        <w:t>Partnerships Office</w:t>
      </w:r>
      <w:r w:rsidR="00C03A04">
        <w:t xml:space="preserve"> is focused on forging and maintaining high quality partnerships with local school </w:t>
      </w:r>
      <w:r w:rsidR="00C03A04" w:rsidRPr="00C03A04">
        <w:rPr>
          <w:rStyle w:val="NoSpacingChar"/>
        </w:rPr>
        <w:t>districts and commu</w:t>
      </w:r>
      <w:r w:rsidR="00913F8C">
        <w:rPr>
          <w:rStyle w:val="NoSpacingChar"/>
        </w:rPr>
        <w:t xml:space="preserve">nity agencies. </w:t>
      </w:r>
    </w:p>
    <w:p w:rsidR="00C03A04" w:rsidRDefault="00C03A04" w:rsidP="000945E2">
      <w:pPr>
        <w:pStyle w:val="ListParagraph"/>
        <w:numPr>
          <w:ilvl w:val="0"/>
          <w:numId w:val="29"/>
        </w:numPr>
      </w:pPr>
      <w:r w:rsidRPr="00C03A04">
        <w:rPr>
          <w:b/>
          <w:shd w:val="clear" w:color="auto" w:fill="FFFFFF"/>
        </w:rPr>
        <w:t>Center for Public Management and Regional Affairs</w:t>
      </w:r>
      <w:r w:rsidRPr="00C03A04">
        <w:rPr>
          <w:shd w:val="clear" w:color="auto" w:fill="FFFFFF"/>
        </w:rPr>
        <w:t xml:space="preserve"> engages in applied public policy and management research, technical assistance services, training and education, and database development in the areas of public management and capacity building, local government economic development, planning, and public program evaluation and </w:t>
      </w:r>
      <w:r w:rsidR="004746CC">
        <w:rPr>
          <w:shd w:val="clear" w:color="auto" w:fill="FFFFFF"/>
        </w:rPr>
        <w:t>policy research. The c</w:t>
      </w:r>
      <w:r w:rsidRPr="00C03A04">
        <w:rPr>
          <w:shd w:val="clear" w:color="auto" w:fill="FFFFFF"/>
        </w:rPr>
        <w:t>enter’s primary efforts are directed toward research and assistance to small/non-metropolitan cities, villages, townships, and</w:t>
      </w:r>
      <w:r w:rsidR="00913F8C">
        <w:rPr>
          <w:shd w:val="clear" w:color="auto" w:fill="FFFFFF"/>
        </w:rPr>
        <w:t xml:space="preserve"> counties. </w:t>
      </w:r>
    </w:p>
    <w:p w:rsidR="0091590D" w:rsidRDefault="0091590D" w:rsidP="000945E2">
      <w:pPr>
        <w:pStyle w:val="ListParagraph"/>
        <w:numPr>
          <w:ilvl w:val="0"/>
          <w:numId w:val="29"/>
        </w:numPr>
      </w:pPr>
      <w:r w:rsidRPr="00286869">
        <w:rPr>
          <w:b/>
        </w:rPr>
        <w:t xml:space="preserve">Festivals, Lectures &amp; Other </w:t>
      </w:r>
      <w:r w:rsidR="00286869">
        <w:rPr>
          <w:b/>
        </w:rPr>
        <w:t xml:space="preserve">Artistic </w:t>
      </w:r>
      <w:r w:rsidRPr="00286869">
        <w:rPr>
          <w:b/>
        </w:rPr>
        <w:t>Events</w:t>
      </w:r>
      <w:r w:rsidR="007A7071">
        <w:t xml:space="preserve"> which are open to the public are scheduled across the calendar ye</w:t>
      </w:r>
      <w:r w:rsidR="002D402D">
        <w:t>ar on all Miami campuses.  E</w:t>
      </w:r>
      <w:r w:rsidR="007A7071">
        <w:t xml:space="preserve">xamples include: </w:t>
      </w:r>
      <w:r w:rsidR="009F7447">
        <w:t>Oxford Writing Festival, Kinetics Festival, University Lecture Series, Performing Arts Series</w:t>
      </w:r>
      <w:r w:rsidR="007A7071">
        <w:t xml:space="preserve">, </w:t>
      </w:r>
      <w:r w:rsidR="00286869">
        <w:t xml:space="preserve">the Regional Campuses Lecture &amp; Artist Series, and </w:t>
      </w:r>
      <w:r w:rsidR="007A7071">
        <w:t>the Janus Forum</w:t>
      </w:r>
      <w:r w:rsidR="00442009">
        <w:t xml:space="preserve"> which have brought </w:t>
      </w:r>
      <w:r w:rsidR="009B6406">
        <w:t>notable artists, intellectuals</w:t>
      </w:r>
      <w:r w:rsidR="00442009">
        <w:t>,</w:t>
      </w:r>
      <w:r w:rsidR="009B6406">
        <w:t xml:space="preserve"> and leaders to Miami each year and enriched thousands of students, faculty, staff, alumni</w:t>
      </w:r>
      <w:r w:rsidR="002D402D">
        <w:t>,</w:t>
      </w:r>
      <w:r w:rsidR="009B6406">
        <w:t xml:space="preserve"> and community members.</w:t>
      </w:r>
    </w:p>
    <w:p w:rsidR="00616C4F" w:rsidRDefault="000A24EF" w:rsidP="000A24EF">
      <w:r>
        <w:t>Although serving our constituents and public engagement are key to Miami’s mission and success, several challenges remain:</w:t>
      </w:r>
    </w:p>
    <w:p w:rsidR="000A24EF" w:rsidRDefault="002E23ED" w:rsidP="000945E2">
      <w:pPr>
        <w:pStyle w:val="ListParagraph"/>
        <w:numPr>
          <w:ilvl w:val="0"/>
          <w:numId w:val="31"/>
        </w:numPr>
      </w:pPr>
      <w:r>
        <w:t>How can we ensure that</w:t>
      </w:r>
      <w:r w:rsidR="00970AFA">
        <w:t xml:space="preserve"> tuition rates are affordable for families during times of declining state funding and other fiscal constraints?</w:t>
      </w:r>
    </w:p>
    <w:p w:rsidR="00DF5AB0" w:rsidRDefault="00DF5AB0" w:rsidP="000945E2">
      <w:pPr>
        <w:pStyle w:val="ListParagraph"/>
        <w:numPr>
          <w:ilvl w:val="0"/>
          <w:numId w:val="31"/>
        </w:numPr>
      </w:pPr>
      <w:r>
        <w:t>How can we track and assess our outreach and public engagement efforts purposefully and meaningfully?</w:t>
      </w:r>
    </w:p>
    <w:p w:rsidR="00616C4F" w:rsidRDefault="00616C4F" w:rsidP="005D78C0">
      <w:pPr>
        <w:pStyle w:val="Heading2"/>
      </w:pPr>
      <w:r>
        <w:t>Sources</w:t>
      </w:r>
    </w:p>
    <w:p w:rsidR="00594C7A" w:rsidRDefault="00594C7A" w:rsidP="005C120F">
      <w:pPr>
        <w:pStyle w:val="NoSpacing"/>
        <w:numPr>
          <w:ilvl w:val="0"/>
          <w:numId w:val="3"/>
        </w:numPr>
        <w:ind w:left="252" w:hanging="252"/>
        <w:rPr>
          <w:sz w:val="20"/>
          <w:szCs w:val="20"/>
        </w:rPr>
      </w:pPr>
      <w:r>
        <w:rPr>
          <w:sz w:val="20"/>
          <w:szCs w:val="20"/>
        </w:rPr>
        <w:t>Mission Statement</w:t>
      </w:r>
    </w:p>
    <w:p w:rsidR="005D78C0" w:rsidRPr="0061076D" w:rsidRDefault="005D78C0" w:rsidP="005C120F">
      <w:pPr>
        <w:pStyle w:val="NoSpacing"/>
        <w:numPr>
          <w:ilvl w:val="0"/>
          <w:numId w:val="3"/>
        </w:numPr>
        <w:ind w:left="252" w:hanging="252"/>
        <w:rPr>
          <w:sz w:val="20"/>
          <w:szCs w:val="20"/>
        </w:rPr>
      </w:pPr>
      <w:r w:rsidRPr="0061076D">
        <w:rPr>
          <w:sz w:val="20"/>
          <w:szCs w:val="20"/>
        </w:rPr>
        <w:t>Miami 2020 Plan and earlier strategic plan goals</w:t>
      </w:r>
    </w:p>
    <w:p w:rsidR="00594C7A" w:rsidRPr="0061076D" w:rsidRDefault="00594C7A" w:rsidP="005C120F">
      <w:pPr>
        <w:pStyle w:val="NoSpacing"/>
        <w:numPr>
          <w:ilvl w:val="0"/>
          <w:numId w:val="3"/>
        </w:numPr>
        <w:ind w:left="252" w:hanging="252"/>
        <w:rPr>
          <w:sz w:val="20"/>
          <w:szCs w:val="20"/>
        </w:rPr>
      </w:pPr>
      <w:r>
        <w:rPr>
          <w:sz w:val="20"/>
          <w:szCs w:val="20"/>
        </w:rPr>
        <w:t>Report Cards on OIR website</w:t>
      </w:r>
    </w:p>
    <w:p w:rsidR="005D78C0" w:rsidRDefault="005D78C0" w:rsidP="005C120F">
      <w:pPr>
        <w:pStyle w:val="NoSpacing"/>
        <w:numPr>
          <w:ilvl w:val="0"/>
          <w:numId w:val="3"/>
        </w:numPr>
        <w:ind w:left="252" w:hanging="252"/>
        <w:rPr>
          <w:sz w:val="20"/>
          <w:szCs w:val="20"/>
        </w:rPr>
      </w:pPr>
      <w:r w:rsidRPr="0061076D">
        <w:rPr>
          <w:sz w:val="20"/>
          <w:szCs w:val="20"/>
        </w:rPr>
        <w:t>Departmental and divisional outreach/partnerships summaries and plans</w:t>
      </w:r>
    </w:p>
    <w:p w:rsidR="001E72DA" w:rsidRPr="00D850F7" w:rsidRDefault="001E72DA" w:rsidP="005C120F">
      <w:pPr>
        <w:pStyle w:val="NoSpacing"/>
        <w:numPr>
          <w:ilvl w:val="0"/>
          <w:numId w:val="3"/>
        </w:numPr>
        <w:ind w:left="252" w:hanging="252"/>
        <w:rPr>
          <w:sz w:val="20"/>
          <w:szCs w:val="20"/>
        </w:rPr>
      </w:pPr>
      <w:r w:rsidRPr="00D850F7">
        <w:rPr>
          <w:sz w:val="20"/>
          <w:szCs w:val="20"/>
        </w:rPr>
        <w:t xml:space="preserve">Ohio Means Grant Proposal </w:t>
      </w:r>
      <w:r w:rsidR="00053C29" w:rsidRPr="00D850F7">
        <w:rPr>
          <w:sz w:val="20"/>
          <w:szCs w:val="20"/>
        </w:rPr>
        <w:t>(Mike Goldman)</w:t>
      </w:r>
    </w:p>
    <w:p w:rsidR="005D78C0" w:rsidRPr="00D850F7" w:rsidRDefault="005D78C0" w:rsidP="005C120F">
      <w:pPr>
        <w:pStyle w:val="NoSpacing"/>
        <w:numPr>
          <w:ilvl w:val="0"/>
          <w:numId w:val="3"/>
        </w:numPr>
        <w:ind w:left="252" w:hanging="252"/>
        <w:rPr>
          <w:sz w:val="20"/>
          <w:szCs w:val="20"/>
        </w:rPr>
      </w:pPr>
      <w:r w:rsidRPr="00D850F7">
        <w:rPr>
          <w:sz w:val="20"/>
          <w:szCs w:val="20"/>
        </w:rPr>
        <w:t>Carnegie Application and Commendation</w:t>
      </w:r>
      <w:r w:rsidR="00053C29" w:rsidRPr="00D850F7">
        <w:rPr>
          <w:sz w:val="20"/>
          <w:szCs w:val="20"/>
        </w:rPr>
        <w:t xml:space="preserve"> (Monica Ways)</w:t>
      </w:r>
    </w:p>
    <w:p w:rsidR="005D78C0" w:rsidRPr="00D850F7" w:rsidRDefault="005D78C0" w:rsidP="005C120F">
      <w:pPr>
        <w:pStyle w:val="NoSpacing"/>
        <w:numPr>
          <w:ilvl w:val="0"/>
          <w:numId w:val="3"/>
        </w:numPr>
        <w:ind w:left="252" w:hanging="252"/>
        <w:rPr>
          <w:sz w:val="20"/>
          <w:szCs w:val="20"/>
        </w:rPr>
      </w:pPr>
      <w:r w:rsidRPr="00D850F7">
        <w:rPr>
          <w:sz w:val="20"/>
          <w:szCs w:val="20"/>
        </w:rPr>
        <w:t>Academic Partner</w:t>
      </w:r>
      <w:r w:rsidR="005D7293" w:rsidRPr="00D850F7">
        <w:rPr>
          <w:sz w:val="20"/>
          <w:szCs w:val="20"/>
        </w:rPr>
        <w:t>ships Committee minutes, annual report, and list of partnerships</w:t>
      </w:r>
    </w:p>
    <w:p w:rsidR="00127417" w:rsidRPr="00D850F7" w:rsidRDefault="00127417" w:rsidP="005C120F">
      <w:pPr>
        <w:pStyle w:val="NoSpacing"/>
        <w:numPr>
          <w:ilvl w:val="0"/>
          <w:numId w:val="3"/>
        </w:numPr>
        <w:ind w:left="252" w:hanging="252"/>
        <w:rPr>
          <w:sz w:val="20"/>
          <w:szCs w:val="20"/>
        </w:rPr>
      </w:pPr>
      <w:r w:rsidRPr="00D850F7">
        <w:rPr>
          <w:sz w:val="20"/>
          <w:szCs w:val="20"/>
        </w:rPr>
        <w:t>Oxford Pathway proposal</w:t>
      </w:r>
    </w:p>
    <w:p w:rsidR="005D78C0" w:rsidRPr="00D850F7" w:rsidRDefault="005D78C0" w:rsidP="005C120F">
      <w:pPr>
        <w:pStyle w:val="NoSpacing"/>
        <w:numPr>
          <w:ilvl w:val="0"/>
          <w:numId w:val="3"/>
        </w:numPr>
        <w:ind w:left="252" w:hanging="252"/>
        <w:rPr>
          <w:sz w:val="20"/>
          <w:szCs w:val="20"/>
        </w:rPr>
      </w:pPr>
      <w:r w:rsidRPr="00D850F7">
        <w:rPr>
          <w:sz w:val="20"/>
          <w:szCs w:val="20"/>
        </w:rPr>
        <w:t xml:space="preserve">ACCESS Initiative summary </w:t>
      </w:r>
      <w:r w:rsidR="00616092" w:rsidRPr="00D850F7">
        <w:rPr>
          <w:sz w:val="20"/>
          <w:szCs w:val="20"/>
        </w:rPr>
        <w:t xml:space="preserve">(from website) </w:t>
      </w:r>
      <w:r w:rsidR="00681405" w:rsidRPr="00D850F7">
        <w:t>https://miamioh.edu/admission/finaid/access-initiative.html</w:t>
      </w:r>
    </w:p>
    <w:p w:rsidR="005D78C0" w:rsidRPr="00D850F7" w:rsidRDefault="005D78C0" w:rsidP="005C120F">
      <w:pPr>
        <w:pStyle w:val="NoSpacing"/>
        <w:numPr>
          <w:ilvl w:val="0"/>
          <w:numId w:val="3"/>
        </w:numPr>
        <w:ind w:left="252" w:hanging="252"/>
        <w:rPr>
          <w:sz w:val="20"/>
          <w:szCs w:val="20"/>
        </w:rPr>
      </w:pPr>
      <w:r w:rsidRPr="00D850F7">
        <w:rPr>
          <w:sz w:val="20"/>
          <w:szCs w:val="20"/>
        </w:rPr>
        <w:t>Summary of Military/Veterans opportunities</w:t>
      </w:r>
    </w:p>
    <w:p w:rsidR="00616092" w:rsidRPr="00D850F7" w:rsidRDefault="005D78C0" w:rsidP="005C120F">
      <w:pPr>
        <w:pStyle w:val="NoSpacing"/>
        <w:numPr>
          <w:ilvl w:val="0"/>
          <w:numId w:val="3"/>
        </w:numPr>
        <w:ind w:left="252" w:hanging="252"/>
        <w:rPr>
          <w:sz w:val="20"/>
          <w:szCs w:val="20"/>
        </w:rPr>
      </w:pPr>
      <w:r w:rsidRPr="00D850F7">
        <w:rPr>
          <w:sz w:val="20"/>
          <w:szCs w:val="20"/>
        </w:rPr>
        <w:t>Con</w:t>
      </w:r>
      <w:r w:rsidR="00616092" w:rsidRPr="00D850F7">
        <w:rPr>
          <w:sz w:val="20"/>
          <w:szCs w:val="20"/>
        </w:rPr>
        <w:t xml:space="preserve">tinuing education offerings </w:t>
      </w:r>
      <w:r w:rsidR="00537213" w:rsidRPr="00D850F7">
        <w:rPr>
          <w:sz w:val="20"/>
          <w:szCs w:val="20"/>
        </w:rPr>
        <w:t>for 2013-2014</w:t>
      </w:r>
    </w:p>
    <w:p w:rsidR="005D78C0" w:rsidRPr="00D850F7" w:rsidRDefault="005D78C0" w:rsidP="005C120F">
      <w:pPr>
        <w:pStyle w:val="NoSpacing"/>
        <w:numPr>
          <w:ilvl w:val="0"/>
          <w:numId w:val="3"/>
        </w:numPr>
        <w:ind w:left="252" w:hanging="252"/>
        <w:rPr>
          <w:sz w:val="20"/>
          <w:szCs w:val="20"/>
        </w:rPr>
      </w:pPr>
      <w:r w:rsidRPr="00D850F7">
        <w:rPr>
          <w:sz w:val="20"/>
          <w:szCs w:val="20"/>
        </w:rPr>
        <w:t>Institute of Learning in Retirement</w:t>
      </w:r>
      <w:r w:rsidR="00616092" w:rsidRPr="00D850F7">
        <w:rPr>
          <w:sz w:val="20"/>
          <w:szCs w:val="20"/>
        </w:rPr>
        <w:t xml:space="preserve"> offerings</w:t>
      </w:r>
      <w:r w:rsidR="00537213" w:rsidRPr="00D850F7">
        <w:rPr>
          <w:sz w:val="20"/>
          <w:szCs w:val="20"/>
        </w:rPr>
        <w:t xml:space="preserve"> for 2013-2014</w:t>
      </w:r>
      <w:r w:rsidR="00870B5D" w:rsidRPr="00D850F7">
        <w:rPr>
          <w:sz w:val="20"/>
          <w:szCs w:val="20"/>
        </w:rPr>
        <w:t xml:space="preserve">: </w:t>
      </w:r>
      <w:r w:rsidR="00870B5D" w:rsidRPr="00D850F7">
        <w:t>http://www.units.miamioh.edu/lifelonglearning/ilr/</w:t>
      </w:r>
    </w:p>
    <w:p w:rsidR="005D78C0" w:rsidRPr="00D850F7" w:rsidRDefault="005D7293" w:rsidP="005C120F">
      <w:pPr>
        <w:pStyle w:val="NoSpacing"/>
        <w:numPr>
          <w:ilvl w:val="0"/>
          <w:numId w:val="3"/>
        </w:numPr>
        <w:ind w:left="252" w:hanging="252"/>
        <w:rPr>
          <w:sz w:val="20"/>
          <w:szCs w:val="20"/>
        </w:rPr>
      </w:pPr>
      <w:r w:rsidRPr="00D850F7">
        <w:rPr>
          <w:sz w:val="20"/>
          <w:szCs w:val="20"/>
        </w:rPr>
        <w:t>List of approved S</w:t>
      </w:r>
      <w:r w:rsidR="005D78C0" w:rsidRPr="00D850F7">
        <w:rPr>
          <w:sz w:val="20"/>
          <w:szCs w:val="20"/>
        </w:rPr>
        <w:t>ervice Learni</w:t>
      </w:r>
      <w:r w:rsidR="00594C7A" w:rsidRPr="00D850F7">
        <w:rPr>
          <w:sz w:val="20"/>
          <w:szCs w:val="20"/>
        </w:rPr>
        <w:t>ng courses</w:t>
      </w:r>
    </w:p>
    <w:p w:rsidR="005D78C0" w:rsidRPr="0061076D" w:rsidRDefault="005D7293" w:rsidP="005C120F">
      <w:pPr>
        <w:pStyle w:val="NoSpacing"/>
        <w:numPr>
          <w:ilvl w:val="0"/>
          <w:numId w:val="3"/>
        </w:numPr>
        <w:ind w:left="252" w:hanging="252"/>
        <w:rPr>
          <w:sz w:val="20"/>
          <w:szCs w:val="20"/>
        </w:rPr>
      </w:pPr>
      <w:r>
        <w:rPr>
          <w:sz w:val="20"/>
          <w:szCs w:val="20"/>
        </w:rPr>
        <w:lastRenderedPageBreak/>
        <w:t>List of employers at internship/career expo (Career Services website has it)</w:t>
      </w:r>
      <w:r w:rsidR="00537213">
        <w:rPr>
          <w:sz w:val="20"/>
          <w:szCs w:val="20"/>
        </w:rPr>
        <w:t xml:space="preserve"> in spring 2014</w:t>
      </w:r>
    </w:p>
    <w:p w:rsidR="005D78C0" w:rsidRPr="0061076D" w:rsidRDefault="00594C7A" w:rsidP="005C120F">
      <w:pPr>
        <w:pStyle w:val="NoSpacing"/>
        <w:numPr>
          <w:ilvl w:val="0"/>
          <w:numId w:val="3"/>
        </w:numPr>
        <w:ind w:left="252" w:hanging="252"/>
        <w:rPr>
          <w:sz w:val="20"/>
          <w:szCs w:val="20"/>
        </w:rPr>
      </w:pPr>
      <w:r>
        <w:rPr>
          <w:sz w:val="20"/>
          <w:szCs w:val="20"/>
        </w:rPr>
        <w:t>Myaamia Center Proposal and Reports</w:t>
      </w:r>
    </w:p>
    <w:p w:rsidR="005D78C0" w:rsidRPr="00D850F7" w:rsidRDefault="00616092" w:rsidP="005C120F">
      <w:pPr>
        <w:pStyle w:val="NoSpacing"/>
        <w:numPr>
          <w:ilvl w:val="0"/>
          <w:numId w:val="3"/>
        </w:numPr>
        <w:ind w:left="252" w:hanging="252"/>
        <w:rPr>
          <w:sz w:val="20"/>
          <w:szCs w:val="20"/>
        </w:rPr>
      </w:pPr>
      <w:r w:rsidRPr="00D850F7">
        <w:rPr>
          <w:sz w:val="20"/>
          <w:szCs w:val="20"/>
        </w:rPr>
        <w:t>P</w:t>
      </w:r>
      <w:r w:rsidR="00913F8C" w:rsidRPr="00D850F7">
        <w:rPr>
          <w:sz w:val="20"/>
          <w:szCs w:val="20"/>
        </w:rPr>
        <w:t xml:space="preserve">artnership Office: </w:t>
      </w:r>
      <w:r w:rsidR="00913F8C" w:rsidRPr="00D850F7">
        <w:rPr>
          <w:rStyle w:val="NoSpacingChar"/>
        </w:rPr>
        <w:t>http://www.units.miamioh.edu/partnershipoffice/</w:t>
      </w:r>
    </w:p>
    <w:p w:rsidR="005D78C0" w:rsidRPr="00D850F7" w:rsidRDefault="005D78C0" w:rsidP="005C120F">
      <w:pPr>
        <w:pStyle w:val="NoSpacing"/>
        <w:numPr>
          <w:ilvl w:val="0"/>
          <w:numId w:val="3"/>
        </w:numPr>
        <w:ind w:left="252" w:hanging="252"/>
        <w:rPr>
          <w:sz w:val="20"/>
          <w:szCs w:val="20"/>
        </w:rPr>
      </w:pPr>
      <w:r w:rsidRPr="00D850F7">
        <w:rPr>
          <w:sz w:val="20"/>
          <w:szCs w:val="20"/>
        </w:rPr>
        <w:t>Summary of alumni activities, programming and outreach (Winter College, etc.)</w:t>
      </w:r>
      <w:r w:rsidR="00537213" w:rsidRPr="00D850F7">
        <w:rPr>
          <w:sz w:val="20"/>
          <w:szCs w:val="20"/>
        </w:rPr>
        <w:t xml:space="preserve"> for 2013-2014</w:t>
      </w:r>
    </w:p>
    <w:p w:rsidR="005D78C0" w:rsidRPr="00D850F7" w:rsidRDefault="005D7293" w:rsidP="005C120F">
      <w:pPr>
        <w:pStyle w:val="NoSpacing"/>
        <w:numPr>
          <w:ilvl w:val="0"/>
          <w:numId w:val="3"/>
        </w:numPr>
        <w:ind w:left="252" w:hanging="252"/>
        <w:rPr>
          <w:sz w:val="20"/>
          <w:szCs w:val="20"/>
        </w:rPr>
      </w:pPr>
      <w:r w:rsidRPr="00D850F7">
        <w:rPr>
          <w:sz w:val="20"/>
          <w:szCs w:val="20"/>
        </w:rPr>
        <w:t>List of t</w:t>
      </w:r>
      <w:r w:rsidR="005D78C0" w:rsidRPr="00D850F7">
        <w:rPr>
          <w:sz w:val="20"/>
          <w:szCs w:val="20"/>
        </w:rPr>
        <w:t>ransfer &amp; articulation agreements (TAGs, CTAGs, RACGS)</w:t>
      </w:r>
      <w:r w:rsidR="00537213" w:rsidRPr="00D850F7">
        <w:rPr>
          <w:sz w:val="20"/>
          <w:szCs w:val="20"/>
        </w:rPr>
        <w:t xml:space="preserve"> approved</w:t>
      </w:r>
    </w:p>
    <w:p w:rsidR="005D7293" w:rsidRPr="00D850F7" w:rsidRDefault="005D7293" w:rsidP="005C120F">
      <w:pPr>
        <w:pStyle w:val="NoSpacing"/>
        <w:numPr>
          <w:ilvl w:val="0"/>
          <w:numId w:val="3"/>
        </w:numPr>
        <w:ind w:left="252" w:hanging="252"/>
        <w:rPr>
          <w:sz w:val="20"/>
          <w:szCs w:val="20"/>
        </w:rPr>
      </w:pPr>
      <w:r w:rsidRPr="00D850F7">
        <w:rPr>
          <w:sz w:val="20"/>
          <w:szCs w:val="20"/>
        </w:rPr>
        <w:t>List of AP matches</w:t>
      </w:r>
    </w:p>
    <w:p w:rsidR="005D78C0" w:rsidRPr="00D850F7" w:rsidRDefault="005D78C0" w:rsidP="005C120F">
      <w:pPr>
        <w:pStyle w:val="NoSpacing"/>
        <w:numPr>
          <w:ilvl w:val="0"/>
          <w:numId w:val="3"/>
        </w:numPr>
        <w:ind w:left="252" w:hanging="252"/>
        <w:rPr>
          <w:sz w:val="20"/>
          <w:szCs w:val="20"/>
        </w:rPr>
      </w:pPr>
      <w:r w:rsidRPr="00D850F7">
        <w:rPr>
          <w:sz w:val="20"/>
          <w:szCs w:val="20"/>
        </w:rPr>
        <w:t>Library</w:t>
      </w:r>
      <w:r w:rsidR="00A7486A" w:rsidRPr="00D850F7">
        <w:rPr>
          <w:sz w:val="20"/>
          <w:szCs w:val="20"/>
        </w:rPr>
        <w:t xml:space="preserve"> report info on</w:t>
      </w:r>
      <w:r w:rsidRPr="00D850F7">
        <w:rPr>
          <w:sz w:val="20"/>
          <w:szCs w:val="20"/>
        </w:rPr>
        <w:t xml:space="preserve"> outreach and use of library facilities</w:t>
      </w:r>
      <w:r w:rsidR="00537213" w:rsidRPr="00D850F7">
        <w:rPr>
          <w:sz w:val="20"/>
          <w:szCs w:val="20"/>
        </w:rPr>
        <w:t xml:space="preserve"> (template in Compliance Assist)</w:t>
      </w:r>
    </w:p>
    <w:p w:rsidR="005D78C0" w:rsidRPr="00D850F7" w:rsidRDefault="005D78C0" w:rsidP="005C120F">
      <w:pPr>
        <w:pStyle w:val="NoSpacing"/>
        <w:numPr>
          <w:ilvl w:val="0"/>
          <w:numId w:val="3"/>
        </w:numPr>
        <w:ind w:left="252" w:hanging="252"/>
        <w:rPr>
          <w:sz w:val="20"/>
          <w:szCs w:val="20"/>
        </w:rPr>
      </w:pPr>
      <w:r w:rsidRPr="00D850F7">
        <w:rPr>
          <w:sz w:val="20"/>
          <w:szCs w:val="20"/>
        </w:rPr>
        <w:t>Downtown Center in Hamilton description</w:t>
      </w:r>
      <w:r w:rsidR="00616092" w:rsidRPr="00D850F7">
        <w:rPr>
          <w:sz w:val="20"/>
          <w:szCs w:val="20"/>
        </w:rPr>
        <w:t xml:space="preserve"> (from website)</w:t>
      </w:r>
      <w:r w:rsidRPr="00D850F7">
        <w:rPr>
          <w:sz w:val="20"/>
          <w:szCs w:val="20"/>
        </w:rPr>
        <w:t>, annual reports</w:t>
      </w:r>
    </w:p>
    <w:p w:rsidR="00594C7A" w:rsidRPr="00D850F7" w:rsidRDefault="00616092" w:rsidP="005C120F">
      <w:pPr>
        <w:pStyle w:val="NoSpacing"/>
        <w:numPr>
          <w:ilvl w:val="0"/>
          <w:numId w:val="3"/>
        </w:numPr>
        <w:ind w:left="252" w:hanging="252"/>
        <w:rPr>
          <w:sz w:val="20"/>
          <w:szCs w:val="20"/>
        </w:rPr>
      </w:pPr>
      <w:r w:rsidRPr="00D850F7">
        <w:rPr>
          <w:sz w:val="20"/>
          <w:szCs w:val="20"/>
        </w:rPr>
        <w:t>VOALC annual</w:t>
      </w:r>
      <w:r w:rsidR="00594C7A" w:rsidRPr="00D850F7">
        <w:rPr>
          <w:sz w:val="20"/>
          <w:szCs w:val="20"/>
        </w:rPr>
        <w:t xml:space="preserve"> reports</w:t>
      </w:r>
    </w:p>
    <w:p w:rsidR="003B3209" w:rsidRPr="00D850F7" w:rsidRDefault="00616092" w:rsidP="005C120F">
      <w:pPr>
        <w:pStyle w:val="NoSpacing"/>
        <w:numPr>
          <w:ilvl w:val="0"/>
          <w:numId w:val="3"/>
        </w:numPr>
        <w:ind w:left="252" w:hanging="252"/>
        <w:rPr>
          <w:sz w:val="20"/>
          <w:szCs w:val="20"/>
        </w:rPr>
      </w:pPr>
      <w:r w:rsidRPr="00D850F7">
        <w:rPr>
          <w:sz w:val="20"/>
          <w:szCs w:val="20"/>
        </w:rPr>
        <w:t>Urba</w:t>
      </w:r>
      <w:r w:rsidR="0073290E" w:rsidRPr="00D850F7">
        <w:rPr>
          <w:sz w:val="20"/>
          <w:szCs w:val="20"/>
        </w:rPr>
        <w:t xml:space="preserve">n Teaching Cohort: </w:t>
      </w:r>
      <w:r w:rsidR="0073290E" w:rsidRPr="00D850F7">
        <w:rPr>
          <w:shd w:val="clear" w:color="auto" w:fill="FFFFFF"/>
        </w:rPr>
        <w:t>http://www.units.miamioh.edu/eap/departments/edt/utc/</w:t>
      </w:r>
    </w:p>
    <w:p w:rsidR="00616C4F" w:rsidRPr="00D850F7" w:rsidRDefault="00616092" w:rsidP="005C120F">
      <w:pPr>
        <w:pStyle w:val="NoSpacing"/>
        <w:numPr>
          <w:ilvl w:val="0"/>
          <w:numId w:val="3"/>
        </w:numPr>
        <w:ind w:left="252" w:hanging="252"/>
        <w:rPr>
          <w:sz w:val="20"/>
          <w:szCs w:val="20"/>
        </w:rPr>
      </w:pPr>
      <w:r w:rsidRPr="00D850F7">
        <w:rPr>
          <w:sz w:val="20"/>
          <w:szCs w:val="20"/>
        </w:rPr>
        <w:t>List of</w:t>
      </w:r>
      <w:r w:rsidR="005D78C0" w:rsidRPr="00D850F7">
        <w:rPr>
          <w:sz w:val="20"/>
          <w:szCs w:val="20"/>
        </w:rPr>
        <w:t xml:space="preserve"> Business and industry and other external advisory councils (e.g., CEC Advisory Council)</w:t>
      </w:r>
      <w:r w:rsidR="00053C29" w:rsidRPr="00D850F7">
        <w:rPr>
          <w:sz w:val="20"/>
          <w:szCs w:val="20"/>
        </w:rPr>
        <w:t xml:space="preserve"> – need to get from deans</w:t>
      </w:r>
    </w:p>
    <w:p w:rsidR="002A030C" w:rsidRPr="00D850F7" w:rsidRDefault="00E40365" w:rsidP="005C120F">
      <w:pPr>
        <w:pStyle w:val="NoSpacing"/>
        <w:numPr>
          <w:ilvl w:val="0"/>
          <w:numId w:val="3"/>
        </w:numPr>
        <w:ind w:left="252" w:hanging="252"/>
        <w:rPr>
          <w:sz w:val="20"/>
          <w:szCs w:val="20"/>
        </w:rPr>
      </w:pPr>
      <w:r w:rsidRPr="00D850F7">
        <w:rPr>
          <w:sz w:val="20"/>
          <w:szCs w:val="20"/>
        </w:rPr>
        <w:t>List of events/speakers</w:t>
      </w:r>
      <w:r w:rsidR="002A030C" w:rsidRPr="00D850F7">
        <w:rPr>
          <w:sz w:val="20"/>
          <w:szCs w:val="20"/>
        </w:rPr>
        <w:t xml:space="preserve"> for University Lecture Series, Performing Arts Series</w:t>
      </w:r>
      <w:r w:rsidR="00616092" w:rsidRPr="00D850F7">
        <w:rPr>
          <w:sz w:val="20"/>
          <w:szCs w:val="20"/>
        </w:rPr>
        <w:t>, Janus Forum, etc.</w:t>
      </w:r>
      <w:r w:rsidR="00053C29" w:rsidRPr="00D850F7">
        <w:rPr>
          <w:sz w:val="20"/>
          <w:szCs w:val="20"/>
        </w:rPr>
        <w:t xml:space="preserve"> – for past two years from websites</w:t>
      </w:r>
    </w:p>
    <w:p w:rsidR="003367C1" w:rsidRPr="00D850F7" w:rsidRDefault="003367C1" w:rsidP="005C120F">
      <w:pPr>
        <w:pStyle w:val="NoSpacing"/>
        <w:numPr>
          <w:ilvl w:val="0"/>
          <w:numId w:val="3"/>
        </w:numPr>
        <w:ind w:left="252" w:hanging="252"/>
        <w:rPr>
          <w:sz w:val="20"/>
          <w:szCs w:val="20"/>
        </w:rPr>
      </w:pPr>
      <w:r w:rsidRPr="00D850F7">
        <w:rPr>
          <w:sz w:val="20"/>
          <w:szCs w:val="20"/>
        </w:rPr>
        <w:t>Staff Performance Appraisal Form</w:t>
      </w:r>
    </w:p>
    <w:p w:rsidR="003367C1" w:rsidRPr="00D850F7" w:rsidRDefault="003367C1" w:rsidP="005C120F">
      <w:pPr>
        <w:pStyle w:val="NoSpacing"/>
        <w:numPr>
          <w:ilvl w:val="0"/>
          <w:numId w:val="3"/>
        </w:numPr>
        <w:ind w:left="252" w:hanging="252"/>
        <w:rPr>
          <w:sz w:val="20"/>
          <w:szCs w:val="20"/>
        </w:rPr>
      </w:pPr>
      <w:r w:rsidRPr="00D850F7">
        <w:rPr>
          <w:sz w:val="20"/>
          <w:szCs w:val="20"/>
        </w:rPr>
        <w:t>Job Enrichment Plan description</w:t>
      </w:r>
    </w:p>
    <w:p w:rsidR="003367C1" w:rsidRPr="00D850F7" w:rsidRDefault="003367C1" w:rsidP="005C120F">
      <w:pPr>
        <w:pStyle w:val="NoSpacing"/>
        <w:numPr>
          <w:ilvl w:val="0"/>
          <w:numId w:val="3"/>
        </w:numPr>
        <w:ind w:left="252" w:hanging="252"/>
        <w:rPr>
          <w:sz w:val="20"/>
          <w:szCs w:val="20"/>
        </w:rPr>
      </w:pPr>
      <w:r w:rsidRPr="00D850F7">
        <w:rPr>
          <w:sz w:val="20"/>
          <w:szCs w:val="20"/>
        </w:rPr>
        <w:t>Lean Leader Certification Program description</w:t>
      </w:r>
    </w:p>
    <w:p w:rsidR="003367C1" w:rsidRPr="00D850F7" w:rsidRDefault="003367C1" w:rsidP="005C120F">
      <w:pPr>
        <w:pStyle w:val="NoSpacing"/>
        <w:numPr>
          <w:ilvl w:val="0"/>
          <w:numId w:val="3"/>
        </w:numPr>
        <w:ind w:left="252" w:hanging="252"/>
        <w:rPr>
          <w:sz w:val="20"/>
          <w:szCs w:val="20"/>
        </w:rPr>
      </w:pPr>
      <w:r w:rsidRPr="00D850F7">
        <w:rPr>
          <w:sz w:val="20"/>
          <w:szCs w:val="20"/>
        </w:rPr>
        <w:t>Institute for Miami Leadership Development description</w:t>
      </w:r>
    </w:p>
    <w:p w:rsidR="003367C1" w:rsidRPr="00D850F7" w:rsidRDefault="003367C1" w:rsidP="005C120F">
      <w:pPr>
        <w:pStyle w:val="NoSpacing"/>
        <w:numPr>
          <w:ilvl w:val="0"/>
          <w:numId w:val="3"/>
        </w:numPr>
        <w:ind w:left="252" w:hanging="252"/>
        <w:rPr>
          <w:sz w:val="20"/>
          <w:szCs w:val="20"/>
        </w:rPr>
      </w:pPr>
      <w:r w:rsidRPr="00D850F7">
        <w:rPr>
          <w:sz w:val="20"/>
          <w:szCs w:val="20"/>
        </w:rPr>
        <w:t>List of alumni chapters</w:t>
      </w:r>
    </w:p>
    <w:p w:rsidR="003367C1" w:rsidRPr="00D850F7" w:rsidRDefault="003367C1" w:rsidP="005C120F">
      <w:pPr>
        <w:pStyle w:val="NoSpacing"/>
        <w:numPr>
          <w:ilvl w:val="0"/>
          <w:numId w:val="3"/>
        </w:numPr>
        <w:ind w:left="252" w:hanging="252"/>
        <w:rPr>
          <w:sz w:val="20"/>
          <w:szCs w:val="20"/>
        </w:rPr>
      </w:pPr>
      <w:r w:rsidRPr="00D850F7">
        <w:rPr>
          <w:sz w:val="20"/>
          <w:szCs w:val="20"/>
        </w:rPr>
        <w:t xml:space="preserve">Winter College </w:t>
      </w:r>
    </w:p>
    <w:p w:rsidR="003367C1" w:rsidRPr="00D850F7" w:rsidRDefault="003367C1" w:rsidP="005C120F">
      <w:pPr>
        <w:pStyle w:val="NoSpacing"/>
        <w:numPr>
          <w:ilvl w:val="0"/>
          <w:numId w:val="3"/>
        </w:numPr>
        <w:ind w:left="252" w:hanging="252"/>
        <w:rPr>
          <w:sz w:val="20"/>
          <w:szCs w:val="20"/>
        </w:rPr>
      </w:pPr>
      <w:r w:rsidRPr="00D850F7">
        <w:rPr>
          <w:sz w:val="20"/>
          <w:szCs w:val="20"/>
        </w:rPr>
        <w:t>Alumni Weekend</w:t>
      </w:r>
    </w:p>
    <w:p w:rsidR="00B67A0F" w:rsidRDefault="00B67A0F" w:rsidP="005D78C0">
      <w:pPr>
        <w:pStyle w:val="NoSpacing"/>
        <w:rPr>
          <w:sz w:val="20"/>
          <w:szCs w:val="20"/>
        </w:rPr>
      </w:pPr>
    </w:p>
    <w:p w:rsidR="00B67A0F" w:rsidRDefault="00B67A0F" w:rsidP="005D78C0">
      <w:pPr>
        <w:pStyle w:val="NoSpacing"/>
        <w:rPr>
          <w:sz w:val="20"/>
          <w:szCs w:val="20"/>
        </w:rPr>
      </w:pPr>
    </w:p>
    <w:p w:rsidR="00B67A0F" w:rsidRDefault="00B67A0F">
      <w:pPr>
        <w:rPr>
          <w:smallCaps/>
          <w:sz w:val="28"/>
          <w:szCs w:val="28"/>
        </w:rPr>
      </w:pPr>
      <w:r>
        <w:br w:type="page"/>
      </w:r>
    </w:p>
    <w:p w:rsidR="00B67A0F" w:rsidRDefault="00B67A0F" w:rsidP="00B67A0F">
      <w:pPr>
        <w:pStyle w:val="Heading2"/>
      </w:pPr>
      <w:r w:rsidRPr="00EA6F46">
        <w:lastRenderedPageBreak/>
        <w:t>Criterion 2: The institution acts with integrity; its conduct is ethical and responsible.</w:t>
      </w:r>
    </w:p>
    <w:p w:rsidR="00B67A0F" w:rsidRDefault="00442009" w:rsidP="00B67A0F">
      <w:pPr>
        <w:pStyle w:val="Heading4"/>
        <w:ind w:left="720" w:hanging="720"/>
      </w:pPr>
      <w:r>
        <w:t>2.A.</w:t>
      </w:r>
      <w:r>
        <w:tab/>
      </w:r>
      <w:r w:rsidR="00B67A0F" w:rsidRPr="00C345E6">
        <w:t xml:space="preserve">The institution operates with integrity in its financial, academic, personnel, and auxiliary functions; it establishes and follows </w:t>
      </w:r>
      <w:r w:rsidR="00F06286">
        <w:t xml:space="preserve">policies and processes for </w:t>
      </w:r>
      <w:r w:rsidR="00B67A0F" w:rsidRPr="00C345E6">
        <w:t>fair and et</w:t>
      </w:r>
      <w:r w:rsidR="00F06286">
        <w:t>hical behavior on the part of</w:t>
      </w:r>
      <w:r w:rsidR="00B67A0F" w:rsidRPr="00C345E6">
        <w:t xml:space="preserve"> its governing board, administration, faculty, and staff.</w:t>
      </w:r>
    </w:p>
    <w:p w:rsidR="00B67A0F" w:rsidRDefault="00B67A0F" w:rsidP="00D860B0">
      <w:pPr>
        <w:pStyle w:val="Heading2"/>
      </w:pPr>
      <w:r>
        <w:t>Narrative</w:t>
      </w:r>
    </w:p>
    <w:p w:rsidR="0087602D" w:rsidRDefault="004B09C6" w:rsidP="00276E92">
      <w:r>
        <w:t>The u</w:t>
      </w:r>
      <w:r w:rsidR="003E10B8">
        <w:t>niversity is committed to conducting its affairs in accordance with th</w:t>
      </w:r>
      <w:r w:rsidR="00A12F76">
        <w:t xml:space="preserve">e highest ethical standards and </w:t>
      </w:r>
      <w:r w:rsidR="003E10B8">
        <w:t xml:space="preserve">in compliance with law and university policy.  </w:t>
      </w:r>
      <w:r w:rsidR="006227C7">
        <w:t>Miami believes that e</w:t>
      </w:r>
      <w:r w:rsidR="00A12F76">
        <w:t>very member of the community—students, faculty, and staff—shares in this responsibility. The State of Ohio has vested responsibi</w:t>
      </w:r>
      <w:r>
        <w:t>lity for the government of the u</w:t>
      </w:r>
      <w:r w:rsidR="00A12F76">
        <w:t xml:space="preserve">niversity in the Board of Trustees (see Ohio Revised Code 3339.01).  </w:t>
      </w:r>
    </w:p>
    <w:p w:rsidR="006227C7" w:rsidRDefault="004B43E5" w:rsidP="00276E92">
      <w:r>
        <w:t>The b</w:t>
      </w:r>
      <w:r w:rsidR="00A12F76">
        <w:t>oard conducts its affa</w:t>
      </w:r>
      <w:r w:rsidR="004B09C6">
        <w:t>irs and the affairs of the u</w:t>
      </w:r>
      <w:r w:rsidR="00A12F76">
        <w:t xml:space="preserve">niversity with integrity and in accordance with the highest ethical standards. </w:t>
      </w:r>
      <w:r w:rsidR="004B09C6">
        <w:t>The preamble of the r</w:t>
      </w:r>
      <w:r w:rsidR="006227C7">
        <w:t>egulations of the Board of Trustees states:</w:t>
      </w:r>
    </w:p>
    <w:p w:rsidR="006227C7" w:rsidRDefault="006227C7" w:rsidP="00276E92">
      <w:pPr>
        <w:ind w:left="720"/>
      </w:pPr>
      <w:r>
        <w:t xml:space="preserve">Miami University enjoys an invaluable heritage of high scholastic standards and a reputation for the development of the whole person as a contributing member of society.  To maintain these assets, </w:t>
      </w:r>
      <w:r w:rsidR="007A6339">
        <w:t>an environment must be provided where individuals are not exempt from the consequences of their own actions or inactions, but where at the same time maximum freedom of scholastic inquiry is assured.</w:t>
      </w:r>
    </w:p>
    <w:p w:rsidR="0029073B" w:rsidRPr="00F95BC5" w:rsidRDefault="00455DE9" w:rsidP="0029073B">
      <w:pPr>
        <w:rPr>
          <w:b/>
        </w:rPr>
      </w:pPr>
      <w:r>
        <w:t>C</w:t>
      </w:r>
      <w:r w:rsidR="00524E15">
        <w:t>onferred upon by Ohio law, the b</w:t>
      </w:r>
      <w:r>
        <w:t>oard has the authority to “take all actions necessary for the successful and continu</w:t>
      </w:r>
      <w:r w:rsidR="00CF47B1">
        <w:t>ous operation of the University” (</w:t>
      </w:r>
      <w:r w:rsidR="00A04EF9">
        <w:t xml:space="preserve">Ohio Revised Code 3339.01 and </w:t>
      </w:r>
      <w:r w:rsidR="00CF47B1">
        <w:t>Regulations</w:t>
      </w:r>
      <w:r w:rsidR="00A04EF9">
        <w:t xml:space="preserve"> of the Board of Trustees</w:t>
      </w:r>
      <w:r w:rsidR="00CF47B1">
        <w:t>, Article 1</w:t>
      </w:r>
      <w:r w:rsidR="00CF47B1" w:rsidRPr="00494038">
        <w:t xml:space="preserve">).  </w:t>
      </w:r>
      <w:r w:rsidR="00494038" w:rsidRPr="00494038">
        <w:t xml:space="preserve">To </w:t>
      </w:r>
      <w:r w:rsidR="001D5F79" w:rsidRPr="00494038">
        <w:t xml:space="preserve">ensure </w:t>
      </w:r>
      <w:r w:rsidR="00494038" w:rsidRPr="00494038">
        <w:t xml:space="preserve">that </w:t>
      </w:r>
      <w:r w:rsidR="001D5F79" w:rsidRPr="00494038">
        <w:t xml:space="preserve">no conflict of interest </w:t>
      </w:r>
      <w:r w:rsidR="00494038" w:rsidRPr="00494038">
        <w:t xml:space="preserve">exists among board members, </w:t>
      </w:r>
      <w:r w:rsidR="00A04EF9">
        <w:t xml:space="preserve">all board members are required by law to fil an annual financial disclosure and ethics statement with the Ohio Ethics Commission.  Additionally, </w:t>
      </w:r>
      <w:r w:rsidR="00494038" w:rsidRPr="00494038">
        <w:t>an annual ethics survey is administered to</w:t>
      </w:r>
      <w:r w:rsidR="0029073B" w:rsidRPr="00494038">
        <w:t xml:space="preserve"> all board members. This survey consists of both a written su</w:t>
      </w:r>
      <w:r w:rsidR="004B09C6">
        <w:t>rvey and an interview with the general c</w:t>
      </w:r>
      <w:r w:rsidR="0029073B" w:rsidRPr="00494038">
        <w:t xml:space="preserve">ounsel.  Potential sources of conflict are documented and monitored. </w:t>
      </w:r>
    </w:p>
    <w:p w:rsidR="003E10B8" w:rsidRDefault="0028313E" w:rsidP="00276E92">
      <w:r>
        <w:t>In addition to the values statement and the statement asserting respect for human d</w:t>
      </w:r>
      <w:r w:rsidR="00276E92">
        <w:t>iversity, t</w:t>
      </w:r>
      <w:r w:rsidR="004B43E5">
        <w:t>he b</w:t>
      </w:r>
      <w:r w:rsidR="004874B5">
        <w:t>oard’</w:t>
      </w:r>
      <w:r w:rsidR="00A12F76">
        <w:t xml:space="preserve">s efforts are </w:t>
      </w:r>
      <w:r w:rsidR="004874B5">
        <w:t xml:space="preserve">further </w:t>
      </w:r>
      <w:r w:rsidR="00A12F76">
        <w:t>supported and guided through:</w:t>
      </w:r>
    </w:p>
    <w:p w:rsidR="00A12F76" w:rsidRPr="007550F9" w:rsidRDefault="007550F9" w:rsidP="000945E2">
      <w:pPr>
        <w:pStyle w:val="ListParagraph"/>
        <w:numPr>
          <w:ilvl w:val="0"/>
          <w:numId w:val="33"/>
        </w:numPr>
      </w:pPr>
      <w:r w:rsidRPr="00135FF6">
        <w:rPr>
          <w:b/>
        </w:rPr>
        <w:t xml:space="preserve">Board </w:t>
      </w:r>
      <w:r w:rsidR="00637ADC" w:rsidRPr="00135FF6">
        <w:rPr>
          <w:b/>
        </w:rPr>
        <w:t>Regulations</w:t>
      </w:r>
      <w:r w:rsidR="00637ADC" w:rsidRPr="007550F9">
        <w:t xml:space="preserve"> </w:t>
      </w:r>
      <w:r w:rsidR="00CF47B1" w:rsidRPr="007550F9">
        <w:t>which articulate the responsibilities and processes of the Board</w:t>
      </w:r>
      <w:r w:rsidR="00D94B76">
        <w:t>;</w:t>
      </w:r>
    </w:p>
    <w:p w:rsidR="00847051" w:rsidRDefault="00A12F76" w:rsidP="000945E2">
      <w:pPr>
        <w:pStyle w:val="ListParagraph"/>
        <w:numPr>
          <w:ilvl w:val="0"/>
          <w:numId w:val="33"/>
        </w:numPr>
      </w:pPr>
      <w:r w:rsidRPr="00135FF6">
        <w:rPr>
          <w:b/>
        </w:rPr>
        <w:t>Board’s Fin</w:t>
      </w:r>
      <w:r w:rsidR="00C05628" w:rsidRPr="00135FF6">
        <w:rPr>
          <w:b/>
        </w:rPr>
        <w:t>ance and Audit Committee Charter</w:t>
      </w:r>
      <w:r w:rsidR="00C05628" w:rsidRPr="007550F9">
        <w:t xml:space="preserve"> which</w:t>
      </w:r>
      <w:r w:rsidR="00525C2F" w:rsidRPr="007550F9">
        <w:t xml:space="preserve"> enables the committee to</w:t>
      </w:r>
      <w:r w:rsidR="00C05628" w:rsidRPr="007550F9">
        <w:t xml:space="preserve"> </w:t>
      </w:r>
      <w:r w:rsidR="00525C2F" w:rsidRPr="007550F9">
        <w:t>function</w:t>
      </w:r>
      <w:r w:rsidR="00C05628" w:rsidRPr="007550F9">
        <w:t xml:space="preserve"> in an oversight capacity for financial and ad</w:t>
      </w:r>
      <w:r w:rsidR="004B43E5">
        <w:t>ministrative operations of the u</w:t>
      </w:r>
      <w:r w:rsidR="00C05628" w:rsidRPr="007550F9">
        <w:t>niversity</w:t>
      </w:r>
      <w:r w:rsidR="00D94B76">
        <w:t xml:space="preserve">; </w:t>
      </w:r>
    </w:p>
    <w:p w:rsidR="00A12F76" w:rsidRPr="00847051" w:rsidRDefault="00A12F76" w:rsidP="000945E2">
      <w:pPr>
        <w:pStyle w:val="ListParagraph"/>
        <w:numPr>
          <w:ilvl w:val="0"/>
          <w:numId w:val="33"/>
        </w:numPr>
      </w:pPr>
      <w:r w:rsidRPr="00135FF6">
        <w:rPr>
          <w:b/>
        </w:rPr>
        <w:t xml:space="preserve">Board’s Academic and Student Affairs </w:t>
      </w:r>
      <w:r w:rsidR="00525C2F" w:rsidRPr="00135FF6">
        <w:rPr>
          <w:b/>
        </w:rPr>
        <w:t xml:space="preserve">Committee </w:t>
      </w:r>
      <w:r w:rsidRPr="00135FF6">
        <w:rPr>
          <w:b/>
        </w:rPr>
        <w:t>Charter</w:t>
      </w:r>
      <w:r w:rsidR="00525C2F" w:rsidRPr="00847051">
        <w:t xml:space="preserve"> which </w:t>
      </w:r>
      <w:r w:rsidR="007550F9" w:rsidRPr="00847051">
        <w:t>describes the committee’s charge to</w:t>
      </w:r>
      <w:r w:rsidR="00525C2F" w:rsidRPr="00847051">
        <w:t xml:space="preserve"> </w:t>
      </w:r>
      <w:r w:rsidR="007550F9" w:rsidRPr="00847051">
        <w:t>serve</w:t>
      </w:r>
      <w:r w:rsidR="00525C2F" w:rsidRPr="00847051">
        <w:t xml:space="preserve"> in an oversight capacity and considers an</w:t>
      </w:r>
      <w:r w:rsidR="004B43E5">
        <w:t>d makes recommendations to the b</w:t>
      </w:r>
      <w:r w:rsidR="00525C2F" w:rsidRPr="00847051">
        <w:t xml:space="preserve">oard on academic and student affairs initiatives and plans of the </w:t>
      </w:r>
      <w:r w:rsidR="004B43E5">
        <w:t>university as delegated by the b</w:t>
      </w:r>
      <w:r w:rsidR="00525C2F" w:rsidRPr="00847051">
        <w:t>oard</w:t>
      </w:r>
      <w:r w:rsidR="00D94B76">
        <w:t xml:space="preserve">; </w:t>
      </w:r>
    </w:p>
    <w:p w:rsidR="00A12F76" w:rsidRPr="00494038" w:rsidRDefault="00A12F76" w:rsidP="000945E2">
      <w:pPr>
        <w:pStyle w:val="ListParagraph"/>
        <w:numPr>
          <w:ilvl w:val="0"/>
          <w:numId w:val="33"/>
        </w:numPr>
        <w:rPr>
          <w:b/>
        </w:rPr>
      </w:pPr>
      <w:r w:rsidRPr="00494038">
        <w:rPr>
          <w:b/>
        </w:rPr>
        <w:t>Board’s Complaint Communication Protocol</w:t>
      </w:r>
      <w:r w:rsidR="00D94B76">
        <w:rPr>
          <w:b/>
        </w:rPr>
        <w:t>;</w:t>
      </w:r>
    </w:p>
    <w:p w:rsidR="00D860B0" w:rsidRPr="00494038" w:rsidRDefault="003E6B20" w:rsidP="000945E2">
      <w:pPr>
        <w:pStyle w:val="ListParagraph"/>
        <w:numPr>
          <w:ilvl w:val="0"/>
          <w:numId w:val="33"/>
        </w:numPr>
      </w:pPr>
      <w:r w:rsidRPr="00D94B76">
        <w:rPr>
          <w:b/>
        </w:rPr>
        <w:t>Ohio Ethics Laws</w:t>
      </w:r>
      <w:r w:rsidRPr="00494038">
        <w:t xml:space="preserve"> (Ohio Revised Code, Chapter 102 and Section 2921.42)</w:t>
      </w:r>
      <w:r w:rsidR="00DC75EF">
        <w:t>;</w:t>
      </w:r>
    </w:p>
    <w:p w:rsidR="00BF17C0" w:rsidRPr="00494038" w:rsidRDefault="00496F01" w:rsidP="000945E2">
      <w:pPr>
        <w:pStyle w:val="ListParagraph"/>
        <w:numPr>
          <w:ilvl w:val="0"/>
          <w:numId w:val="32"/>
        </w:numPr>
      </w:pPr>
      <w:r w:rsidRPr="00494038">
        <w:rPr>
          <w:b/>
        </w:rPr>
        <w:t>Miami University Poli</w:t>
      </w:r>
      <w:r w:rsidR="00DC75EF">
        <w:rPr>
          <w:b/>
        </w:rPr>
        <w:t>cy &amp; Information Manual (MUPIM);</w:t>
      </w:r>
    </w:p>
    <w:p w:rsidR="00E54FBB" w:rsidRPr="00494038" w:rsidRDefault="00131E81" w:rsidP="000945E2">
      <w:pPr>
        <w:pStyle w:val="ListParagraph"/>
        <w:numPr>
          <w:ilvl w:val="0"/>
          <w:numId w:val="32"/>
        </w:numPr>
        <w:rPr>
          <w:b/>
        </w:rPr>
      </w:pPr>
      <w:r w:rsidRPr="00494038">
        <w:rPr>
          <w:b/>
        </w:rPr>
        <w:t>Board’s Annual Ethics Report</w:t>
      </w:r>
      <w:r w:rsidR="00E54FBB" w:rsidRPr="00494038">
        <w:rPr>
          <w:b/>
        </w:rPr>
        <w:t>s</w:t>
      </w:r>
      <w:r w:rsidR="00DC75EF">
        <w:rPr>
          <w:b/>
        </w:rPr>
        <w:t>.</w:t>
      </w:r>
    </w:p>
    <w:p w:rsidR="005F20E1" w:rsidRDefault="00634C4C" w:rsidP="005F20E1">
      <w:r>
        <w:t xml:space="preserve">The </w:t>
      </w:r>
      <w:r w:rsidR="004B43E5">
        <w:t>D</w:t>
      </w:r>
      <w:r w:rsidR="0028313E">
        <w:t xml:space="preserve">ivision of </w:t>
      </w:r>
      <w:r w:rsidR="004B43E5">
        <w:t>F</w:t>
      </w:r>
      <w:r w:rsidR="0028313E">
        <w:t xml:space="preserve">inance and </w:t>
      </w:r>
      <w:r w:rsidR="004B43E5">
        <w:t>Business S</w:t>
      </w:r>
      <w:r w:rsidR="001D5F79">
        <w:t>ervices</w:t>
      </w:r>
      <w:r w:rsidR="00EE6255">
        <w:t xml:space="preserve"> generally</w:t>
      </w:r>
      <w:r w:rsidR="001D5F79">
        <w:t xml:space="preserve"> </w:t>
      </w:r>
      <w:r w:rsidR="008A790F">
        <w:t>employs</w:t>
      </w:r>
      <w:r w:rsidR="009A1963">
        <w:t xml:space="preserve"> accepted accounting principles and</w:t>
      </w:r>
      <w:r w:rsidR="00356A14">
        <w:t xml:space="preserve"> collaborative decision-</w:t>
      </w:r>
      <w:r w:rsidR="004532A1">
        <w:t>making</w:t>
      </w:r>
      <w:r w:rsidR="009A1963">
        <w:t xml:space="preserve"> to ensure consistent, transparent</w:t>
      </w:r>
      <w:r w:rsidR="00494038">
        <w:t>,</w:t>
      </w:r>
      <w:r w:rsidR="009A1963">
        <w:t xml:space="preserve"> and ethical financial processes.  The </w:t>
      </w:r>
      <w:r w:rsidR="001F4E6C">
        <w:t>budget framework is reviewed throughout its development by key adminis</w:t>
      </w:r>
      <w:r w:rsidR="00524E15">
        <w:t>trative leaders as well as the p</w:t>
      </w:r>
      <w:r w:rsidR="001F4E6C">
        <w:t>reside</w:t>
      </w:r>
      <w:r w:rsidR="0028313E">
        <w:t>n</w:t>
      </w:r>
      <w:r w:rsidR="00524E15">
        <w:t>t’s executive c</w:t>
      </w:r>
      <w:r w:rsidR="0028313E">
        <w:t>abinet and the fiscal priorities c</w:t>
      </w:r>
      <w:r w:rsidR="001F4E6C">
        <w:t xml:space="preserve">ommittee of University Senate, and it is approved by the </w:t>
      </w:r>
      <w:r w:rsidR="00524E15">
        <w:t>b</w:t>
      </w:r>
      <w:r w:rsidR="00356A14">
        <w:t xml:space="preserve">oard’s </w:t>
      </w:r>
      <w:r w:rsidR="00524E15">
        <w:t>finance and audit c</w:t>
      </w:r>
      <w:r w:rsidR="001F4E6C">
        <w:t>ommittee and the</w:t>
      </w:r>
      <w:r w:rsidR="00524E15">
        <w:t xml:space="preserve"> </w:t>
      </w:r>
      <w:r w:rsidR="004B43E5">
        <w:t>B</w:t>
      </w:r>
      <w:r w:rsidR="00524E15">
        <w:t xml:space="preserve">oard of </w:t>
      </w:r>
      <w:r w:rsidR="004B43E5">
        <w:t>T</w:t>
      </w:r>
      <w:r w:rsidR="001F4E6C">
        <w:t>rustees.</w:t>
      </w:r>
      <w:r w:rsidR="00A840E2">
        <w:t xml:space="preserve"> </w:t>
      </w:r>
      <w:r w:rsidR="00366378">
        <w:t>Budget and tuition ordinances are published on the Office of the President’s website, and the appro</w:t>
      </w:r>
      <w:r w:rsidR="00524E15">
        <w:t>ved budget is published on the university budget o</w:t>
      </w:r>
      <w:r w:rsidR="00366378">
        <w:t xml:space="preserve">ffice’s website.  </w:t>
      </w:r>
    </w:p>
    <w:p w:rsidR="00634C4C" w:rsidRDefault="00366378" w:rsidP="005F20E1">
      <w:r>
        <w:lastRenderedPageBreak/>
        <w:t xml:space="preserve">The approved budget is loaded into the Banner system at the beginning of the fiscal year and reviewed again by individual fund managers.  Each month, operating </w:t>
      </w:r>
      <w:r w:rsidR="00B93682">
        <w:t>reports are produced comparing actual to budget for the curren</w:t>
      </w:r>
      <w:r w:rsidR="00524E15">
        <w:t>t month and year to date.  The general accounting d</w:t>
      </w:r>
      <w:r w:rsidR="00B93682">
        <w:t xml:space="preserve">epartment verifies the accuracy </w:t>
      </w:r>
      <w:r w:rsidR="00BE43E1">
        <w:t xml:space="preserve">of the reports.  </w:t>
      </w:r>
    </w:p>
    <w:p w:rsidR="00634C4C" w:rsidRDefault="00D658D5" w:rsidP="005F20E1">
      <w:r>
        <w:t>T</w:t>
      </w:r>
      <w:r w:rsidR="00710F3F">
        <w:t>he treasury services o</w:t>
      </w:r>
      <w:r>
        <w:t xml:space="preserve">ffice manages the cash, investments, and debt obligations.  </w:t>
      </w:r>
      <w:r w:rsidR="00634C4C">
        <w:t xml:space="preserve">The Miami University Foundation Board of Directors selects, monitors, and evaluates the management of Foundation assets.  It meets quarterly to scrutinize the performance of managers, screen potential investment firms, and allocate assets among the various investment sectors, managers and allocation styles.  It also establishes guidelines for all managers and makes certain each firm </w:t>
      </w:r>
      <w:r>
        <w:t>is operated within its stated objectives.</w:t>
      </w:r>
    </w:p>
    <w:p w:rsidR="00366378" w:rsidRDefault="00BE43E1" w:rsidP="005F20E1">
      <w:r>
        <w:t>Th</w:t>
      </w:r>
      <w:r w:rsidR="00710F3F">
        <w:t>e u</w:t>
      </w:r>
      <w:r>
        <w:t>niversity’s resources are monitored through preparation of annual audited financial statements coordinated</w:t>
      </w:r>
      <w:r w:rsidR="00710F3F">
        <w:t xml:space="preserve"> with external auditors by the controller’s o</w:t>
      </w:r>
      <w:r>
        <w:t>ffice.  Additionally, the Office of Internal Audit and Consulting Services</w:t>
      </w:r>
      <w:r w:rsidR="00634C4C">
        <w:t xml:space="preserve"> (OIACS)</w:t>
      </w:r>
      <w:r>
        <w:t xml:space="preserve"> independently and objectively determines wh</w:t>
      </w:r>
      <w:r w:rsidR="002D402D">
        <w:t>ether internal controls</w:t>
      </w:r>
      <w:r>
        <w:t xml:space="preserve"> are in place and functioning effectively.  The finan</w:t>
      </w:r>
      <w:r w:rsidR="00634C4C">
        <w:t>cial statements and reports by the OIACS are pres</w:t>
      </w:r>
      <w:r w:rsidR="00710F3F">
        <w:t>ented to the Board of Trustees’ finance and audit c</w:t>
      </w:r>
      <w:r w:rsidR="00634C4C">
        <w:t>ommittee.</w:t>
      </w:r>
    </w:p>
    <w:p w:rsidR="002D52A1" w:rsidRDefault="002D52A1" w:rsidP="005F20E1">
      <w:r>
        <w:t xml:space="preserve">To ensure that the institution achieves fairness and transparency in its employee practices, </w:t>
      </w:r>
      <w:r w:rsidR="007E32C1">
        <w:t>Miami</w:t>
      </w:r>
      <w:r w:rsidR="008942C9">
        <w:t xml:space="preserve"> has a chief ethics officer wh</w:t>
      </w:r>
      <w:r w:rsidR="00692EDE">
        <w:t>o is the general counsel.  The u</w:t>
      </w:r>
      <w:r w:rsidR="008942C9">
        <w:t>niversity</w:t>
      </w:r>
      <w:r w:rsidR="007E32C1">
        <w:t xml:space="preserve"> launched an anonymous external hotline for reporting illegal and unethical behavior in </w:t>
      </w:r>
      <w:r w:rsidR="006C51EC">
        <w:t xml:space="preserve">2006, and the president issues a memorandum on ethical conduct and reporting crimes annually.  The university has an array of offices, committees and personnel dedicated to compliance, including the Office of Equity and Equal Opportunity, </w:t>
      </w:r>
      <w:r w:rsidR="00B1183C">
        <w:t xml:space="preserve">Office of Disability Resources, Committee on </w:t>
      </w:r>
      <w:r w:rsidR="006C51EC">
        <w:t>Faculty Rig</w:t>
      </w:r>
      <w:r w:rsidR="00B1183C">
        <w:t>hts &amp; Responsibilities</w:t>
      </w:r>
      <w:r w:rsidR="006C51EC">
        <w:t>, NCAA Appeals Committee</w:t>
      </w:r>
      <w:r w:rsidR="007A4DF8">
        <w:t xml:space="preserve">, </w:t>
      </w:r>
      <w:r w:rsidR="00A101B8">
        <w:t>Crisis Management Team, and</w:t>
      </w:r>
      <w:r w:rsidR="007A4DF8">
        <w:t xml:space="preserve"> Faculty Welfare Committee.</w:t>
      </w:r>
      <w:r w:rsidR="00A101B8">
        <w:t xml:space="preserve"> The Miami University Policy &amp; Information Manual includes protocols</w:t>
      </w:r>
      <w:r w:rsidR="00A101B8" w:rsidRPr="00496F01">
        <w:t xml:space="preserve"> for reporting and addressing illegal activity and misconduct, redressing grievances, preventing or redressing hara</w:t>
      </w:r>
      <w:r w:rsidR="00A101B8">
        <w:t>ssment or discrimination, resol</w:t>
      </w:r>
      <w:r w:rsidR="00A101B8" w:rsidRPr="00496F01">
        <w:t>ving conflicts of commitment interest, the responsible use of technology</w:t>
      </w:r>
      <w:r w:rsidR="00A101B8">
        <w:t>,</w:t>
      </w:r>
      <w:r w:rsidR="00A101B8" w:rsidRPr="00496F01">
        <w:t xml:space="preserve"> and outside consulting notification</w:t>
      </w:r>
      <w:r w:rsidR="00A101B8">
        <w:t>.</w:t>
      </w:r>
    </w:p>
    <w:p w:rsidR="001B4419" w:rsidRDefault="001B4419" w:rsidP="001B4419">
      <w:r w:rsidRPr="00F34BA1">
        <w:t>The</w:t>
      </w:r>
      <w:r>
        <w:t xml:space="preserve"> Division of</w:t>
      </w:r>
      <w:r w:rsidRPr="00F34BA1">
        <w:t xml:space="preserve"> Enrollment Management and Student Success </w:t>
      </w:r>
      <w:r>
        <w:t xml:space="preserve">follows ethical practices and guidelines.  The Office of Student Financial Assistance is reviewed </w:t>
      </w:r>
      <w:r w:rsidR="00B514C9">
        <w:t xml:space="preserve">regularly </w:t>
      </w:r>
      <w:r>
        <w:t xml:space="preserve">by the Department of Education and adheres to its regulations, and the Office of Admission is a member of the National Association for College Admission Counseling (NACAC) and </w:t>
      </w:r>
      <w:r w:rsidR="004B50BE">
        <w:t>it staff and volunteers adhere</w:t>
      </w:r>
      <w:r>
        <w:t xml:space="preserve"> to its principles and policies. </w:t>
      </w:r>
    </w:p>
    <w:p w:rsidR="002F76EE" w:rsidRPr="00F34BA1" w:rsidRDefault="008307B7" w:rsidP="001B4419">
      <w:r>
        <w:t>T</w:t>
      </w:r>
      <w:r w:rsidR="002F76EE">
        <w:t xml:space="preserve">he </w:t>
      </w:r>
      <w:r w:rsidR="002C7112">
        <w:t>athletic policy c</w:t>
      </w:r>
      <w:r>
        <w:t>ommittee, whic</w:t>
      </w:r>
      <w:r w:rsidR="000B0705">
        <w:t xml:space="preserve">h is advisory to the President and a committee of University Senate, </w:t>
      </w:r>
      <w:r>
        <w:t xml:space="preserve">ensures that Miami’s intercollegiate athletics operate in accordance with the National Collegiate Athletic Association, Mid-American Conference, and </w:t>
      </w:r>
      <w:r w:rsidR="00356A14">
        <w:t>National Collegiate Hockey Conference</w:t>
      </w:r>
      <w:r>
        <w:t xml:space="preserve"> regulations.</w:t>
      </w:r>
      <w:r w:rsidR="004B50BE">
        <w:t xml:space="preserve"> An independ</w:t>
      </w:r>
      <w:r w:rsidR="00B359F6">
        <w:t>ent Athletics Appeals Committee</w:t>
      </w:r>
      <w:r w:rsidR="004B50BE">
        <w:t xml:space="preserve"> adjudicates complaints.</w:t>
      </w:r>
    </w:p>
    <w:p w:rsidR="00F34BA1" w:rsidRDefault="00A101B8" w:rsidP="005F20E1">
      <w:r>
        <w:t>New faculty</w:t>
      </w:r>
      <w:r w:rsidR="00700522">
        <w:t xml:space="preserve"> members</w:t>
      </w:r>
      <w:r w:rsidR="00EA30B7">
        <w:t xml:space="preserve"> receive education on relevant ethical</w:t>
      </w:r>
      <w:r>
        <w:t xml:space="preserve"> policies and resources</w:t>
      </w:r>
      <w:r w:rsidR="00700522">
        <w:t xml:space="preserve">, including </w:t>
      </w:r>
      <w:r w:rsidR="00F34BA1">
        <w:t xml:space="preserve">best teaching practices and </w:t>
      </w:r>
      <w:r w:rsidR="00700522">
        <w:t>copyright policy,</w:t>
      </w:r>
      <w:r>
        <w:t xml:space="preserve"> at a two-day orientation session</w:t>
      </w:r>
      <w:r w:rsidR="00700522">
        <w:t xml:space="preserve"> led by the Office of the Provost, University Libraries, and CELTUA. D</w:t>
      </w:r>
      <w:r w:rsidR="006B325B">
        <w:t xml:space="preserve">epartment </w:t>
      </w:r>
      <w:r>
        <w:t>chairs and other administrative directors are provided guidance on these matters</w:t>
      </w:r>
      <w:r w:rsidR="006B325B">
        <w:t>, including FERPA policies,</w:t>
      </w:r>
      <w:r>
        <w:t xml:space="preserve"> at </w:t>
      </w:r>
      <w:r w:rsidR="006B325B">
        <w:t xml:space="preserve">the fall retreat </w:t>
      </w:r>
      <w:r w:rsidR="002C7112">
        <w:t xml:space="preserve">led by the </w:t>
      </w:r>
      <w:r>
        <w:t>Office</w:t>
      </w:r>
      <w:r w:rsidR="002C7112">
        <w:t xml:space="preserve"> of the Provost</w:t>
      </w:r>
      <w:r>
        <w:t xml:space="preserve">.  </w:t>
      </w:r>
      <w:r w:rsidR="008B7CD9">
        <w:t xml:space="preserve">Incoming students are provided information on </w:t>
      </w:r>
      <w:r w:rsidR="00137C91">
        <w:t xml:space="preserve">the “I Am Miami” code, the student code of conduct, </w:t>
      </w:r>
      <w:r w:rsidR="008B7CD9">
        <w:t>FERPA</w:t>
      </w:r>
      <w:r w:rsidR="00B359F6">
        <w:t>,</w:t>
      </w:r>
      <w:r w:rsidR="008B7CD9">
        <w:t xml:space="preserve"> and other policies and resources relating to safety, wellness, and ethical behavior at the new student orientation session.  </w:t>
      </w:r>
    </w:p>
    <w:p w:rsidR="00A101B8" w:rsidRPr="00B359F6" w:rsidRDefault="0029073B" w:rsidP="005F20E1">
      <w:r w:rsidRPr="00B359F6">
        <w:t xml:space="preserve">All new employees receive a copy of Ohio’s ethics laws. The Office of </w:t>
      </w:r>
      <w:r w:rsidR="00132AA5">
        <w:t xml:space="preserve">the </w:t>
      </w:r>
      <w:r w:rsidRPr="00B359F6">
        <w:t xml:space="preserve">General Counsel provides training to various offices regarding conflicts of interest and ethics.  All unclassified employees </w:t>
      </w:r>
      <w:r w:rsidR="00F81485">
        <w:t xml:space="preserve">and all full-time faculty are required to </w:t>
      </w:r>
      <w:r w:rsidRPr="00B359F6">
        <w:t>participate in a mandat</w:t>
      </w:r>
      <w:r w:rsidR="00132AA5">
        <w:t xml:space="preserve">ory annual conflict of interest, </w:t>
      </w:r>
      <w:r w:rsidRPr="00B359F6">
        <w:t>ethics</w:t>
      </w:r>
      <w:r w:rsidR="00132AA5">
        <w:t>,</w:t>
      </w:r>
      <w:r w:rsidRPr="00B359F6">
        <w:t xml:space="preserve"> and external services survey.</w:t>
      </w:r>
    </w:p>
    <w:p w:rsidR="00A250A2" w:rsidRPr="00EC0CD1" w:rsidRDefault="004C4CDB" w:rsidP="00A250A2">
      <w:r>
        <w:t>Shared governance is a high priority for Miami University</w:t>
      </w:r>
      <w:r w:rsidR="00E737DF">
        <w:t xml:space="preserve">.  The Board of Trustees </w:t>
      </w:r>
      <w:r w:rsidR="00097BA1">
        <w:t>ha</w:t>
      </w:r>
      <w:r w:rsidR="00132AA5">
        <w:t>s the authority to appoint the p</w:t>
      </w:r>
      <w:r w:rsidR="00097BA1">
        <w:t>resident</w:t>
      </w:r>
      <w:r w:rsidR="000B0705">
        <w:t>, a</w:t>
      </w:r>
      <w:r w:rsidR="00132AA5">
        <w:t>nd it assigns the execution of u</w:t>
      </w:r>
      <w:r w:rsidR="000B0705">
        <w:t>nivers</w:t>
      </w:r>
      <w:r w:rsidR="00132AA5">
        <w:t>ity policies to the p</w:t>
      </w:r>
      <w:r w:rsidR="000B0705">
        <w:t xml:space="preserve">resident.  </w:t>
      </w:r>
      <w:r w:rsidR="00BA1918">
        <w:t xml:space="preserve">The University Senate is the primary </w:t>
      </w:r>
      <w:r w:rsidR="00BA1918">
        <w:lastRenderedPageBreak/>
        <w:t>governance body where students, faculty, staff, and administrators discuss major university issues and reach conclusions on policies and actions t</w:t>
      </w:r>
      <w:r w:rsidR="00EC0CD1">
        <w:t xml:space="preserve">o be taken by the institution. </w:t>
      </w:r>
      <w:r w:rsidR="00132AA5">
        <w:t>The s</w:t>
      </w:r>
      <w:r w:rsidR="00EC0CD1" w:rsidRPr="00EC0CD1">
        <w:t>enate is</w:t>
      </w:r>
      <w:r w:rsidR="00132AA5">
        <w:t xml:space="preserve"> chaired by the p</w:t>
      </w:r>
      <w:r w:rsidR="00A250A2" w:rsidRPr="00EC0CD1">
        <w:t>rovost</w:t>
      </w:r>
      <w:r w:rsidR="00132AA5">
        <w:t>,</w:t>
      </w:r>
      <w:r w:rsidR="00A250A2" w:rsidRPr="00EC0CD1">
        <w:t xml:space="preserve"> and the a</w:t>
      </w:r>
      <w:r w:rsidR="00132AA5">
        <w:t>genda is managed by an elected executive c</w:t>
      </w:r>
      <w:r w:rsidR="00A250A2" w:rsidRPr="00EC0CD1">
        <w:t xml:space="preserve">ommittee consisting of three faculty members (the faculty chair, the faculty chair-elect, and a third faculty member), the president of the undergraduate student government, </w:t>
      </w:r>
      <w:r w:rsidR="00EC0CD1">
        <w:t>and a graduate student</w:t>
      </w:r>
      <w:r w:rsidR="00132AA5">
        <w:t xml:space="preserve">. </w:t>
      </w:r>
      <w:r w:rsidR="00A250A2" w:rsidRPr="00EC0CD1">
        <w:t xml:space="preserve"> The </w:t>
      </w:r>
      <w:r w:rsidR="001B26B5">
        <w:t>Board of Trustees delegates to University S</w:t>
      </w:r>
      <w:r w:rsidR="00A250A2" w:rsidRPr="00EC0CD1">
        <w:t>enate responsibility for curriculum, programs, and course offerings and advisory responsibility</w:t>
      </w:r>
      <w:r w:rsidR="00132AA5">
        <w:t xml:space="preserve"> on university matters</w:t>
      </w:r>
      <w:r w:rsidR="00A250A2" w:rsidRPr="00EC0CD1">
        <w:t xml:space="preserve">.  </w:t>
      </w:r>
    </w:p>
    <w:p w:rsidR="00A250A2" w:rsidRPr="00EC0CD1" w:rsidRDefault="00A250A2" w:rsidP="00A250A2">
      <w:r w:rsidRPr="00EC0CD1">
        <w:t>The Facu</w:t>
      </w:r>
      <w:r w:rsidR="00132AA5">
        <w:t>lty Assembly is chaired by the p</w:t>
      </w:r>
      <w:r w:rsidRPr="00EC0CD1">
        <w:t>resident who has responsibility for chairing the meetings. A faculty advisory committee provide</w:t>
      </w:r>
      <w:r w:rsidR="00132AA5">
        <w:t>s recommended agenda items for faculty a</w:t>
      </w:r>
      <w:r w:rsidRPr="00EC0CD1">
        <w:t xml:space="preserve">ssembly meetings.  </w:t>
      </w:r>
    </w:p>
    <w:p w:rsidR="00D860B0" w:rsidRPr="00AA1E13" w:rsidRDefault="00132AA5" w:rsidP="00AA1E13">
      <w:r>
        <w:t>The p</w:t>
      </w:r>
      <w:r w:rsidR="00C05629">
        <w:t xml:space="preserve">resident has an executive cabinet </w:t>
      </w:r>
      <w:r w:rsidR="00DC75EF">
        <w:t>which meets almost weekly throughout the academic year</w:t>
      </w:r>
      <w:r w:rsidR="005579FF">
        <w:t xml:space="preserve"> and includes</w:t>
      </w:r>
      <w:r w:rsidR="00C05629">
        <w:t xml:space="preserve"> all vice presidents and leaders who directly report to him</w:t>
      </w:r>
      <w:r w:rsidR="005579FF">
        <w:t xml:space="preserve"> to ensure effective inter-divisional communication</w:t>
      </w:r>
      <w:r w:rsidR="00C30748">
        <w:t>, and the p</w:t>
      </w:r>
      <w:r w:rsidR="00C05629">
        <w:t>rovost chairs the Council of Academic Deans which</w:t>
      </w:r>
      <w:r w:rsidR="005579FF">
        <w:t xml:space="preserve"> meets biweekly</w:t>
      </w:r>
      <w:r w:rsidR="00C30748">
        <w:t xml:space="preserve"> and</w:t>
      </w:r>
      <w:r w:rsidR="00C05629">
        <w:t xml:space="preserve"> includes all academic deans, the dean of students, dean of the University Libraries</w:t>
      </w:r>
      <w:r w:rsidR="00C30748">
        <w:t>,</w:t>
      </w:r>
      <w:r w:rsidR="00C05629">
        <w:t xml:space="preserve"> and t</w:t>
      </w:r>
      <w:r w:rsidR="00C30748">
        <w:t>he other direct reports to the p</w:t>
      </w:r>
      <w:r w:rsidR="00C05629">
        <w:t>rovost.</w:t>
      </w:r>
      <w:r w:rsidR="005579FF">
        <w:t xml:space="preserve"> </w:t>
      </w:r>
      <w:r w:rsidR="00C30748">
        <w:t>Once each year, the p</w:t>
      </w:r>
      <w:r w:rsidR="00395C09">
        <w:t>resident gives an annual</w:t>
      </w:r>
      <w:r w:rsidR="00C30748">
        <w:t xml:space="preserve"> address to all members of the u</w:t>
      </w:r>
      <w:r w:rsidR="00395C09">
        <w:t>niversity.</w:t>
      </w:r>
      <w:r w:rsidR="00AA1E13">
        <w:t xml:space="preserve"> </w:t>
      </w:r>
      <w:r w:rsidR="00C30748">
        <w:t xml:space="preserve"> The p</w:t>
      </w:r>
      <w:r w:rsidR="005579FF">
        <w:t>rovost also holds</w:t>
      </w:r>
      <w:r w:rsidR="002A3FC4">
        <w:t xml:space="preserve"> </w:t>
      </w:r>
      <w:r w:rsidR="005579FF">
        <w:t xml:space="preserve">meetings of </w:t>
      </w:r>
      <w:r w:rsidR="00356A14">
        <w:t>all department chairs and associate deans</w:t>
      </w:r>
      <w:r w:rsidR="005579FF">
        <w:t xml:space="preserve"> three or four times each semester to update them</w:t>
      </w:r>
      <w:r w:rsidR="000207D7">
        <w:t xml:space="preserve"> and provide</w:t>
      </w:r>
      <w:r w:rsidR="00395C09">
        <w:t xml:space="preserve"> insights</w:t>
      </w:r>
      <w:r w:rsidR="005579FF">
        <w:t xml:space="preserve"> on key initiatives</w:t>
      </w:r>
      <w:r w:rsidR="00C30748">
        <w:t xml:space="preserve"> and challenges.  Both the president and provost </w:t>
      </w:r>
      <w:r w:rsidR="00395C09">
        <w:t xml:space="preserve">maintain other forms of electronic communication, including </w:t>
      </w:r>
      <w:r w:rsidR="00AA1E13">
        <w:t xml:space="preserve">a daily e-report, quarterly </w:t>
      </w:r>
      <w:r w:rsidR="00395C09">
        <w:t>newsletters</w:t>
      </w:r>
      <w:r w:rsidR="00C30748">
        <w:t>, and websites.  The p</w:t>
      </w:r>
      <w:r w:rsidR="00395C09">
        <w:t>resident has an active Twitter account which he maintains himself.</w:t>
      </w:r>
    </w:p>
    <w:p w:rsidR="00C116DD" w:rsidRDefault="00A41255" w:rsidP="00A50355">
      <w:r>
        <w:t>Future goals rel</w:t>
      </w:r>
      <w:r w:rsidR="00A50355">
        <w:t>ated to this criterion include o</w:t>
      </w:r>
      <w:r>
        <w:t>ffering faculty, staff</w:t>
      </w:r>
      <w:r w:rsidR="00C30748">
        <w:t>,</w:t>
      </w:r>
      <w:r>
        <w:t xml:space="preserve"> and student educationa</w:t>
      </w:r>
      <w:r w:rsidR="00A50355">
        <w:t>l programs on ethical reasoning</w:t>
      </w:r>
      <w:r>
        <w:t xml:space="preserve"> and </w:t>
      </w:r>
      <w:r w:rsidR="00C116DD">
        <w:t>infusing ethical reasoning int</w:t>
      </w:r>
      <w:r w:rsidR="00A50355">
        <w:t>o the curriculum more fully</w:t>
      </w:r>
      <w:r w:rsidR="00C116DD">
        <w:t>.</w:t>
      </w:r>
    </w:p>
    <w:p w:rsidR="00B67A0F" w:rsidRDefault="00B67A0F" w:rsidP="00D860B0">
      <w:pPr>
        <w:pStyle w:val="Heading2"/>
      </w:pPr>
      <w:r>
        <w:t>Sources</w:t>
      </w:r>
    </w:p>
    <w:p w:rsidR="00DC75EF" w:rsidRDefault="00845F71" w:rsidP="00AF1931">
      <w:pPr>
        <w:pStyle w:val="NoSpacing"/>
        <w:numPr>
          <w:ilvl w:val="0"/>
          <w:numId w:val="3"/>
        </w:numPr>
        <w:ind w:left="252" w:hanging="270"/>
        <w:rPr>
          <w:sz w:val="20"/>
          <w:szCs w:val="20"/>
        </w:rPr>
      </w:pPr>
      <w:r>
        <w:rPr>
          <w:sz w:val="20"/>
          <w:szCs w:val="20"/>
        </w:rPr>
        <w:t>Board of Trustees Regulations</w:t>
      </w:r>
      <w:r w:rsidR="00513A8A">
        <w:rPr>
          <w:sz w:val="20"/>
          <w:szCs w:val="20"/>
        </w:rPr>
        <w:t xml:space="preserve"> </w:t>
      </w:r>
      <w:r w:rsidR="00DC75EF" w:rsidRPr="007550F9">
        <w:t>[http://www.miami.miamioh.edu/_files/documents/about-miami/president/bot/BOT_Regulations_07-13.pdf]</w:t>
      </w:r>
    </w:p>
    <w:p w:rsidR="00AF1931" w:rsidRDefault="00DC75EF" w:rsidP="00AF1931">
      <w:pPr>
        <w:pStyle w:val="NoSpacing"/>
        <w:numPr>
          <w:ilvl w:val="0"/>
          <w:numId w:val="3"/>
        </w:numPr>
        <w:ind w:left="252" w:hanging="270"/>
        <w:rPr>
          <w:sz w:val="20"/>
          <w:szCs w:val="20"/>
        </w:rPr>
      </w:pPr>
      <w:r>
        <w:rPr>
          <w:sz w:val="20"/>
          <w:szCs w:val="20"/>
        </w:rPr>
        <w:t>Board c</w:t>
      </w:r>
      <w:r w:rsidR="00513A8A">
        <w:rPr>
          <w:sz w:val="20"/>
          <w:szCs w:val="20"/>
        </w:rPr>
        <w:t>ommittee charters</w:t>
      </w:r>
      <w:r w:rsidR="003545FE">
        <w:rPr>
          <w:sz w:val="20"/>
          <w:szCs w:val="20"/>
        </w:rPr>
        <w:t xml:space="preserve"> </w:t>
      </w:r>
      <w:r w:rsidRPr="007550F9">
        <w:t xml:space="preserve">[See Board </w:t>
      </w:r>
      <w:r>
        <w:t>R</w:t>
      </w:r>
      <w:r w:rsidRPr="007550F9">
        <w:t>esolution</w:t>
      </w:r>
      <w:r>
        <w:t>:</w:t>
      </w:r>
      <w:r w:rsidRPr="007550F9">
        <w:t xml:space="preserve"> R2005-20 and the amendments: R2007-46, R2010-32, and R2011-66)</w:t>
      </w:r>
      <w:r w:rsidRPr="00DC75EF">
        <w:t xml:space="preserve"> </w:t>
      </w:r>
      <w:r w:rsidRPr="00847051">
        <w:t xml:space="preserve">[See </w:t>
      </w:r>
      <w:r>
        <w:t xml:space="preserve">also </w:t>
      </w:r>
      <w:r w:rsidRPr="00847051">
        <w:t>R2011-30]</w:t>
      </w:r>
    </w:p>
    <w:p w:rsidR="00227715" w:rsidRDefault="00227715" w:rsidP="00AF1931">
      <w:pPr>
        <w:pStyle w:val="NoSpacing"/>
        <w:numPr>
          <w:ilvl w:val="0"/>
          <w:numId w:val="3"/>
        </w:numPr>
        <w:ind w:left="252" w:hanging="270"/>
        <w:rPr>
          <w:sz w:val="20"/>
          <w:szCs w:val="20"/>
        </w:rPr>
      </w:pPr>
      <w:r w:rsidRPr="00AF1931">
        <w:rPr>
          <w:sz w:val="20"/>
          <w:szCs w:val="20"/>
        </w:rPr>
        <w:t>Board of Trustees Minutes [http://www.miami.miamioh.edu/about-miami/leadership/president/bot/index.html]</w:t>
      </w:r>
    </w:p>
    <w:p w:rsidR="00131E81" w:rsidRPr="00AF1931" w:rsidRDefault="00131E81" w:rsidP="00AF1931">
      <w:pPr>
        <w:pStyle w:val="NoSpacing"/>
        <w:numPr>
          <w:ilvl w:val="0"/>
          <w:numId w:val="3"/>
        </w:numPr>
        <w:ind w:left="252" w:hanging="270"/>
        <w:rPr>
          <w:sz w:val="20"/>
          <w:szCs w:val="20"/>
        </w:rPr>
      </w:pPr>
      <w:r>
        <w:rPr>
          <w:sz w:val="20"/>
          <w:szCs w:val="20"/>
        </w:rPr>
        <w:t>Board of Trustees Annual Ethics Reports (by Susan Vaughn and Brenda Quaye)</w:t>
      </w:r>
    </w:p>
    <w:p w:rsidR="00513A8A" w:rsidRDefault="00513A8A" w:rsidP="005C120F">
      <w:pPr>
        <w:pStyle w:val="NoSpacing"/>
        <w:numPr>
          <w:ilvl w:val="0"/>
          <w:numId w:val="3"/>
        </w:numPr>
        <w:ind w:left="252" w:hanging="270"/>
        <w:rPr>
          <w:sz w:val="20"/>
          <w:szCs w:val="20"/>
        </w:rPr>
      </w:pPr>
      <w:r>
        <w:rPr>
          <w:sz w:val="20"/>
          <w:szCs w:val="20"/>
        </w:rPr>
        <w:t>Annual audits and reviews (financial, ethical, and risk/compliance)</w:t>
      </w:r>
    </w:p>
    <w:p w:rsidR="00513A8A" w:rsidRDefault="00513A8A" w:rsidP="005C120F">
      <w:pPr>
        <w:pStyle w:val="NoSpacing"/>
        <w:numPr>
          <w:ilvl w:val="0"/>
          <w:numId w:val="3"/>
        </w:numPr>
        <w:ind w:left="252" w:hanging="270"/>
        <w:rPr>
          <w:sz w:val="20"/>
          <w:szCs w:val="20"/>
        </w:rPr>
      </w:pPr>
      <w:r>
        <w:rPr>
          <w:sz w:val="20"/>
          <w:szCs w:val="20"/>
        </w:rPr>
        <w:t>MUPIM</w:t>
      </w:r>
      <w:r w:rsidR="00E737DF">
        <w:rPr>
          <w:sz w:val="20"/>
          <w:szCs w:val="20"/>
        </w:rPr>
        <w:t xml:space="preserve"> policies cited in narrative</w:t>
      </w:r>
    </w:p>
    <w:p w:rsidR="00DC75EF" w:rsidRDefault="00643EDF" w:rsidP="00DC75EF">
      <w:pPr>
        <w:pStyle w:val="NoSpacing"/>
        <w:numPr>
          <w:ilvl w:val="0"/>
          <w:numId w:val="3"/>
        </w:numPr>
        <w:ind w:left="252" w:hanging="270"/>
        <w:rPr>
          <w:sz w:val="20"/>
          <w:szCs w:val="20"/>
        </w:rPr>
      </w:pPr>
      <w:r>
        <w:rPr>
          <w:sz w:val="20"/>
          <w:szCs w:val="20"/>
        </w:rPr>
        <w:t>Materials related to 2013 New Faculty Orientation (brochure, agenda)</w:t>
      </w:r>
    </w:p>
    <w:p w:rsidR="00DC75EF" w:rsidRPr="00DC75EF" w:rsidRDefault="00E11140" w:rsidP="00DC75EF">
      <w:pPr>
        <w:pStyle w:val="NoSpacing"/>
        <w:numPr>
          <w:ilvl w:val="0"/>
          <w:numId w:val="3"/>
        </w:numPr>
        <w:ind w:left="252" w:hanging="270"/>
        <w:rPr>
          <w:sz w:val="20"/>
          <w:szCs w:val="20"/>
        </w:rPr>
      </w:pPr>
      <w:r w:rsidRPr="00DC75EF">
        <w:rPr>
          <w:sz w:val="20"/>
          <w:szCs w:val="20"/>
        </w:rPr>
        <w:t>Universi</w:t>
      </w:r>
      <w:r w:rsidR="007F7A0C" w:rsidRPr="00DC75EF">
        <w:rPr>
          <w:sz w:val="20"/>
          <w:szCs w:val="20"/>
        </w:rPr>
        <w:t>ty Senate and Faculty Assembly Enabling Act</w:t>
      </w:r>
      <w:r w:rsidR="00EA30B7" w:rsidRPr="00DC75EF">
        <w:rPr>
          <w:sz w:val="20"/>
          <w:szCs w:val="20"/>
        </w:rPr>
        <w:t xml:space="preserve"> </w:t>
      </w:r>
      <w:r w:rsidR="00DC75EF" w:rsidRPr="00494038">
        <w:t>[http://community.miamioh.edu/senate/files/senate/BYLAWS%20%20of%20University%20Senate%202013.pdf]</w:t>
      </w:r>
    </w:p>
    <w:p w:rsidR="00D860B0" w:rsidRDefault="00EA30B7" w:rsidP="005C120F">
      <w:pPr>
        <w:pStyle w:val="NoSpacing"/>
        <w:numPr>
          <w:ilvl w:val="0"/>
          <w:numId w:val="3"/>
        </w:numPr>
        <w:ind w:left="252" w:hanging="270"/>
        <w:rPr>
          <w:sz w:val="20"/>
          <w:szCs w:val="20"/>
        </w:rPr>
      </w:pPr>
      <w:r>
        <w:rPr>
          <w:sz w:val="20"/>
          <w:szCs w:val="20"/>
        </w:rPr>
        <w:t>Senate By-Laws</w:t>
      </w:r>
    </w:p>
    <w:p w:rsidR="0028313E" w:rsidRDefault="0028313E" w:rsidP="005C120F">
      <w:pPr>
        <w:pStyle w:val="NoSpacing"/>
        <w:numPr>
          <w:ilvl w:val="0"/>
          <w:numId w:val="3"/>
        </w:numPr>
        <w:ind w:left="252" w:hanging="270"/>
        <w:rPr>
          <w:sz w:val="20"/>
          <w:szCs w:val="20"/>
        </w:rPr>
      </w:pPr>
      <w:r>
        <w:t>F</w:t>
      </w:r>
      <w:r w:rsidRPr="00494038">
        <w:t>inancial disclosure statements w</w:t>
      </w:r>
      <w:r>
        <w:t xml:space="preserve">ith the Ohio Ethics Commission: </w:t>
      </w:r>
      <w:r w:rsidRPr="00494038">
        <w:t>http://ethics.ohio.gov/disclosure/file.shtml.</w:t>
      </w:r>
    </w:p>
    <w:p w:rsidR="00D860B0" w:rsidRDefault="007F7A0C" w:rsidP="005C120F">
      <w:pPr>
        <w:pStyle w:val="NoSpacing"/>
        <w:numPr>
          <w:ilvl w:val="0"/>
          <w:numId w:val="3"/>
        </w:numPr>
        <w:ind w:left="252" w:hanging="270"/>
        <w:rPr>
          <w:sz w:val="20"/>
          <w:szCs w:val="20"/>
        </w:rPr>
      </w:pPr>
      <w:r>
        <w:rPr>
          <w:sz w:val="20"/>
          <w:szCs w:val="20"/>
        </w:rPr>
        <w:t>Ethics Point Reporting Hotline</w:t>
      </w:r>
      <w:r w:rsidR="00E11140">
        <w:rPr>
          <w:sz w:val="20"/>
          <w:szCs w:val="20"/>
        </w:rPr>
        <w:t xml:space="preserve"> Description from website</w:t>
      </w:r>
    </w:p>
    <w:p w:rsidR="00F34C4F" w:rsidRDefault="00F34C4F" w:rsidP="005C120F">
      <w:pPr>
        <w:pStyle w:val="NoSpacing"/>
        <w:numPr>
          <w:ilvl w:val="0"/>
          <w:numId w:val="3"/>
        </w:numPr>
        <w:ind w:left="252" w:hanging="270"/>
        <w:rPr>
          <w:sz w:val="20"/>
          <w:szCs w:val="20"/>
        </w:rPr>
      </w:pPr>
      <w:r>
        <w:rPr>
          <w:sz w:val="20"/>
          <w:szCs w:val="20"/>
        </w:rPr>
        <w:t>New Student Orientation Schedule</w:t>
      </w:r>
    </w:p>
    <w:p w:rsidR="00F34C4F" w:rsidRDefault="00F34C4F" w:rsidP="005C120F">
      <w:pPr>
        <w:pStyle w:val="NoSpacing"/>
        <w:numPr>
          <w:ilvl w:val="0"/>
          <w:numId w:val="3"/>
        </w:numPr>
        <w:ind w:left="252" w:hanging="270"/>
        <w:rPr>
          <w:sz w:val="20"/>
          <w:szCs w:val="20"/>
        </w:rPr>
      </w:pPr>
      <w:r>
        <w:rPr>
          <w:sz w:val="20"/>
          <w:szCs w:val="20"/>
        </w:rPr>
        <w:t>COAD minutes</w:t>
      </w:r>
    </w:p>
    <w:p w:rsidR="00F34C4F" w:rsidRDefault="00F34C4F" w:rsidP="005C120F">
      <w:pPr>
        <w:pStyle w:val="NoSpacing"/>
        <w:numPr>
          <w:ilvl w:val="0"/>
          <w:numId w:val="3"/>
        </w:numPr>
        <w:ind w:left="252" w:hanging="270"/>
        <w:rPr>
          <w:sz w:val="20"/>
          <w:szCs w:val="20"/>
        </w:rPr>
      </w:pPr>
      <w:r>
        <w:rPr>
          <w:sz w:val="20"/>
          <w:szCs w:val="20"/>
        </w:rPr>
        <w:t>Newsletters from President &amp; Provost in 2013-2014</w:t>
      </w:r>
    </w:p>
    <w:p w:rsidR="00F34C4F" w:rsidRDefault="00F34C4F" w:rsidP="005C120F">
      <w:pPr>
        <w:pStyle w:val="NoSpacing"/>
        <w:numPr>
          <w:ilvl w:val="0"/>
          <w:numId w:val="3"/>
        </w:numPr>
        <w:ind w:left="252" w:hanging="270"/>
        <w:rPr>
          <w:sz w:val="20"/>
          <w:szCs w:val="20"/>
        </w:rPr>
      </w:pPr>
      <w:r>
        <w:rPr>
          <w:sz w:val="20"/>
          <w:szCs w:val="20"/>
        </w:rPr>
        <w:t>Presidential Annual Addresses</w:t>
      </w:r>
    </w:p>
    <w:p w:rsidR="00856DBE" w:rsidRDefault="00856DBE" w:rsidP="005C120F">
      <w:pPr>
        <w:pStyle w:val="NoSpacing"/>
        <w:numPr>
          <w:ilvl w:val="0"/>
          <w:numId w:val="3"/>
        </w:numPr>
        <w:ind w:left="252" w:hanging="270"/>
        <w:rPr>
          <w:sz w:val="20"/>
          <w:szCs w:val="20"/>
        </w:rPr>
      </w:pPr>
      <w:r>
        <w:rPr>
          <w:sz w:val="20"/>
          <w:szCs w:val="20"/>
        </w:rPr>
        <w:t>FERPA guidelines in student handbook</w:t>
      </w:r>
    </w:p>
    <w:p w:rsidR="00856DBE" w:rsidRDefault="00856DBE" w:rsidP="005C120F">
      <w:pPr>
        <w:pStyle w:val="NoSpacing"/>
        <w:numPr>
          <w:ilvl w:val="0"/>
          <w:numId w:val="3"/>
        </w:numPr>
        <w:ind w:left="252" w:hanging="270"/>
        <w:rPr>
          <w:sz w:val="20"/>
          <w:szCs w:val="20"/>
        </w:rPr>
      </w:pPr>
      <w:r>
        <w:rPr>
          <w:sz w:val="20"/>
          <w:szCs w:val="20"/>
        </w:rPr>
        <w:t>Ohio Revised Code 3339.01, chapter 102, 2921.42</w:t>
      </w:r>
    </w:p>
    <w:p w:rsidR="00856DBE" w:rsidRDefault="00856DBE" w:rsidP="005C120F">
      <w:pPr>
        <w:pStyle w:val="NoSpacing"/>
        <w:numPr>
          <w:ilvl w:val="0"/>
          <w:numId w:val="3"/>
        </w:numPr>
        <w:ind w:left="252" w:hanging="270"/>
        <w:rPr>
          <w:sz w:val="20"/>
          <w:szCs w:val="20"/>
        </w:rPr>
      </w:pPr>
      <w:r>
        <w:rPr>
          <w:sz w:val="20"/>
          <w:szCs w:val="20"/>
        </w:rPr>
        <w:t>Budget Reports</w:t>
      </w:r>
    </w:p>
    <w:p w:rsidR="00856DBE" w:rsidRDefault="00856DBE" w:rsidP="005C120F">
      <w:pPr>
        <w:pStyle w:val="NoSpacing"/>
        <w:numPr>
          <w:ilvl w:val="0"/>
          <w:numId w:val="3"/>
        </w:numPr>
        <w:ind w:left="252" w:hanging="270"/>
        <w:rPr>
          <w:sz w:val="20"/>
          <w:szCs w:val="20"/>
        </w:rPr>
      </w:pPr>
      <w:r>
        <w:rPr>
          <w:sz w:val="20"/>
          <w:szCs w:val="20"/>
        </w:rPr>
        <w:t>Budget and tuition ordinances (President’s website)</w:t>
      </w:r>
    </w:p>
    <w:p w:rsidR="00784B13" w:rsidRDefault="00784B13">
      <w:pPr>
        <w:rPr>
          <w:b/>
          <w:i/>
        </w:rPr>
      </w:pPr>
      <w:r>
        <w:rPr>
          <w:b/>
          <w:i/>
        </w:rPr>
        <w:br w:type="page"/>
      </w:r>
    </w:p>
    <w:p w:rsidR="00784B13" w:rsidRDefault="003A7424" w:rsidP="003A7424">
      <w:pPr>
        <w:pStyle w:val="Heading4"/>
        <w:ind w:left="720" w:hanging="720"/>
      </w:pPr>
      <w:r>
        <w:lastRenderedPageBreak/>
        <w:t>2.B.</w:t>
      </w:r>
      <w:r>
        <w:tab/>
      </w:r>
      <w:r w:rsidR="00784B13" w:rsidRPr="00C345E6">
        <w:t>The institution presents itself clearly and completely to its students and to the public with regard to its programs, requirements, faculty and staff, costs to students, control, and accreditation relationships.</w:t>
      </w:r>
    </w:p>
    <w:p w:rsidR="00F130A3" w:rsidRDefault="00F130A3" w:rsidP="00F130A3">
      <w:pPr>
        <w:pStyle w:val="Heading2"/>
      </w:pPr>
      <w:r>
        <w:t>Narrative</w:t>
      </w:r>
    </w:p>
    <w:p w:rsidR="00C17D9A" w:rsidRDefault="00857999" w:rsidP="00C116DD">
      <w:r>
        <w:t>Miami University is committed</w:t>
      </w:r>
      <w:r w:rsidR="00927C72">
        <w:t xml:space="preserve"> to transparent, open</w:t>
      </w:r>
      <w:r w:rsidR="002A1A9D">
        <w:t>,</w:t>
      </w:r>
      <w:r>
        <w:t xml:space="preserve"> and accurate communication and utilizes multiple </w:t>
      </w:r>
      <w:r w:rsidR="000B490D">
        <w:t xml:space="preserve">documents and forms of </w:t>
      </w:r>
      <w:r>
        <w:t>media to share inform</w:t>
      </w:r>
      <w:r w:rsidR="000B490D">
        <w:t>ation internally and externally, including information about academic programs, requirements, faculty and staff, costs, and accreditation relationships.</w:t>
      </w:r>
      <w:r w:rsidR="00C17D9A">
        <w:t xml:space="preserve">  Key documents include:</w:t>
      </w:r>
    </w:p>
    <w:p w:rsidR="00897EB5" w:rsidRDefault="00897EB5" w:rsidP="00897EB5">
      <w:pPr>
        <w:pStyle w:val="ListParagraph"/>
        <w:numPr>
          <w:ilvl w:val="0"/>
          <w:numId w:val="34"/>
        </w:numPr>
      </w:pPr>
      <w:r w:rsidRPr="00A23D54">
        <w:rPr>
          <w:b/>
        </w:rPr>
        <w:t>Student Handbook</w:t>
      </w:r>
      <w:r>
        <w:t xml:space="preserve"> which includes undergraduate academic regulations, code of student conduct, conduct regulations, residency and housing requirements, policies relating to health, safety, m</w:t>
      </w:r>
      <w:r w:rsidR="00021550">
        <w:t>otor vehicles, and student life;</w:t>
      </w:r>
    </w:p>
    <w:p w:rsidR="00897EB5" w:rsidRDefault="00897EB5" w:rsidP="00897EB5">
      <w:pPr>
        <w:pStyle w:val="ListParagraph"/>
        <w:numPr>
          <w:ilvl w:val="0"/>
          <w:numId w:val="34"/>
        </w:numPr>
      </w:pPr>
      <w:r w:rsidRPr="00A23D54">
        <w:rPr>
          <w:b/>
        </w:rPr>
        <w:t>Handbook for Graduate Students &amp; Faculty</w:t>
      </w:r>
      <w:r>
        <w:t xml:space="preserve"> which provides graduate academic regulations, general information about degree requirements and studen</w:t>
      </w:r>
      <w:r w:rsidR="00021550">
        <w:t>t life, and faculty information;</w:t>
      </w:r>
    </w:p>
    <w:p w:rsidR="00C17D9A" w:rsidRDefault="00C17D9A" w:rsidP="000945E2">
      <w:pPr>
        <w:pStyle w:val="ListParagraph"/>
        <w:numPr>
          <w:ilvl w:val="0"/>
          <w:numId w:val="34"/>
        </w:numPr>
      </w:pPr>
      <w:r w:rsidRPr="00A23D54">
        <w:rPr>
          <w:b/>
        </w:rPr>
        <w:t>General Bulletin</w:t>
      </w:r>
      <w:r w:rsidR="009A076E">
        <w:t xml:space="preserve"> which </w:t>
      </w:r>
      <w:r w:rsidR="00897EB5">
        <w:t xml:space="preserve">communicates </w:t>
      </w:r>
      <w:r w:rsidR="004630CA">
        <w:t>academic policies,</w:t>
      </w:r>
      <w:r w:rsidR="009A076E">
        <w:t xml:space="preserve"> requirements, costs, and accreditation </w:t>
      </w:r>
      <w:r w:rsidR="004630CA">
        <w:t>status</w:t>
      </w:r>
      <w:r w:rsidR="00897EB5">
        <w:t xml:space="preserve"> of appropriate degree programs</w:t>
      </w:r>
      <w:r w:rsidR="00021550">
        <w:t>.</w:t>
      </w:r>
    </w:p>
    <w:p w:rsidR="00C17D9A" w:rsidRDefault="002C1673" w:rsidP="00C116DD">
      <w:r>
        <w:t>New policies or changes to existing academic policies must be appr</w:t>
      </w:r>
      <w:r w:rsidR="00EE0661">
        <w:t>oved by the University Senate, the general counsel, and the p</w:t>
      </w:r>
      <w:r>
        <w:t xml:space="preserve">rovost.  </w:t>
      </w:r>
      <w:r w:rsidR="00B37E48">
        <w:t>T</w:t>
      </w:r>
      <w:r w:rsidR="00A23D54">
        <w:t xml:space="preserve">hese documents are updated annually </w:t>
      </w:r>
      <w:r w:rsidR="00B37E48">
        <w:t>by the Graduate School, University Registr</w:t>
      </w:r>
      <w:r w:rsidR="00380E28">
        <w:t>ar, Office of the Provost, and general c</w:t>
      </w:r>
      <w:r w:rsidR="00B37E48">
        <w:t xml:space="preserve">ounsel </w:t>
      </w:r>
      <w:r w:rsidR="00A23D54">
        <w:t>and made available via Miami’</w:t>
      </w:r>
      <w:r w:rsidR="00B37E48">
        <w:t>s website and in print form to advising personnel.</w:t>
      </w:r>
    </w:p>
    <w:p w:rsidR="00CF7154" w:rsidRDefault="00CF7154" w:rsidP="00C116DD">
      <w:r>
        <w:t xml:space="preserve">The Miami University website also </w:t>
      </w:r>
      <w:r w:rsidR="003F61D8">
        <w:t>fe</w:t>
      </w:r>
      <w:r w:rsidR="00D756ED">
        <w:t>at</w:t>
      </w:r>
      <w:r w:rsidR="00380E28">
        <w:t>ures a “publications &amp; p</w:t>
      </w:r>
      <w:r w:rsidR="003F61D8">
        <w:t xml:space="preserve">olicies” webpage which links to the key documents as well as other informational pages, such as </w:t>
      </w:r>
      <w:r w:rsidR="00380E28">
        <w:t xml:space="preserve">the </w:t>
      </w:r>
      <w:r w:rsidR="003F61D8">
        <w:t>“Right to Know</w:t>
      </w:r>
      <w:r w:rsidR="00D756ED">
        <w:t>: Student</w:t>
      </w:r>
      <w:r w:rsidR="003F61D8">
        <w:t xml:space="preserve"> Consumer Inf</w:t>
      </w:r>
      <w:r w:rsidR="00D756ED">
        <w:t>ormation” which includes tuition fe</w:t>
      </w:r>
      <w:r w:rsidR="007D21A4">
        <w:t xml:space="preserve">es, a net price calculator, </w:t>
      </w:r>
      <w:r w:rsidR="00D756ED">
        <w:t>refund policy information</w:t>
      </w:r>
      <w:r w:rsidR="007D21A4">
        <w:t xml:space="preserve"> as well as security, fire safety and student outcomes</w:t>
      </w:r>
      <w:r w:rsidR="00D756ED">
        <w:t xml:space="preserve">. </w:t>
      </w:r>
      <w:r>
        <w:t xml:space="preserve">  The Office of Institutional Research </w:t>
      </w:r>
      <w:r w:rsidR="00380E28">
        <w:t>website</w:t>
      </w:r>
      <w:r w:rsidR="00D756ED">
        <w:t xml:space="preserve"> includes a wide array of institutional data, such as fact books, fact sheets, and common data sets.</w:t>
      </w:r>
    </w:p>
    <w:p w:rsidR="00F16416" w:rsidRDefault="0030160E" w:rsidP="00A4656B">
      <w:r w:rsidRPr="00A4656B">
        <w:t>Although these documents are comprehensive and accurate, they are sometimes difficult for students</w:t>
      </w:r>
      <w:r w:rsidR="004E50D5" w:rsidRPr="00A4656B">
        <w:t xml:space="preserve"> and their family members</w:t>
      </w:r>
      <w:r w:rsidRPr="00A4656B">
        <w:t xml:space="preserve"> to navigate.  </w:t>
      </w:r>
      <w:r w:rsidR="004E50D5" w:rsidRPr="00A4656B">
        <w:t>T</w:t>
      </w:r>
      <w:r w:rsidR="00B514C9">
        <w:t>o address this concern, t</w:t>
      </w:r>
      <w:r w:rsidR="004E50D5" w:rsidRPr="00A4656B">
        <w:t xml:space="preserve">he Office of Admission has a website that is targeted for prospective and admitted students and their families with easy-to-access relevant information about Miami’s </w:t>
      </w:r>
      <w:r w:rsidR="00D65BDC" w:rsidRPr="00A4656B">
        <w:t>academic programs, tuition costs, and other enrollment information, and its website is linked to the Office of New Student Programs website which features critical information for new students.</w:t>
      </w:r>
      <w:r w:rsidR="007A5DAD" w:rsidRPr="00A4656B">
        <w:t xml:space="preserve">  Once admi</w:t>
      </w:r>
      <w:r w:rsidR="00380E28">
        <w:t xml:space="preserve">tted to the university, students </w:t>
      </w:r>
      <w:r w:rsidR="007A5DAD" w:rsidRPr="00A4656B">
        <w:t>receive a set of print materials that include basic information about academic programs, tuition, housing costs, and other fees.</w:t>
      </w:r>
      <w:r w:rsidR="00F24793" w:rsidRPr="00A4656B">
        <w:t xml:space="preserve">  </w:t>
      </w:r>
    </w:p>
    <w:p w:rsidR="0027411F" w:rsidRPr="0027411F" w:rsidRDefault="00D6324E" w:rsidP="0027411F">
      <w:pPr>
        <w:rPr>
          <w:rFonts w:ascii="Arial" w:eastAsia="Times New Roman" w:hAnsi="Arial"/>
          <w:color w:val="000000"/>
          <w:sz w:val="20"/>
          <w:szCs w:val="20"/>
        </w:rPr>
      </w:pPr>
      <w:r>
        <w:rPr>
          <w:rFonts w:eastAsia="Times New Roman"/>
        </w:rPr>
        <w:t>The</w:t>
      </w:r>
      <w:r w:rsidRPr="0027411F">
        <w:rPr>
          <w:rFonts w:eastAsia="Times New Roman"/>
        </w:rPr>
        <w:t xml:space="preserve"> primary way of sharing information with</w:t>
      </w:r>
      <w:r>
        <w:rPr>
          <w:rFonts w:eastAsia="Times New Roman"/>
        </w:rPr>
        <w:t xml:space="preserve"> current students (as well as faculty, </w:t>
      </w:r>
      <w:r w:rsidRPr="0027411F">
        <w:rPr>
          <w:rFonts w:eastAsia="Times New Roman"/>
        </w:rPr>
        <w:t>staff,</w:t>
      </w:r>
      <w:r>
        <w:rPr>
          <w:rFonts w:eastAsia="Times New Roman"/>
        </w:rPr>
        <w:t xml:space="preserve"> and</w:t>
      </w:r>
      <w:r w:rsidRPr="0027411F">
        <w:rPr>
          <w:rFonts w:eastAsia="Times New Roman"/>
        </w:rPr>
        <w:t xml:space="preserve"> the general public)</w:t>
      </w:r>
      <w:r>
        <w:rPr>
          <w:rFonts w:eastAsia="Times New Roman"/>
        </w:rPr>
        <w:t xml:space="preserve"> is the website</w:t>
      </w:r>
      <w:r w:rsidRPr="0027411F">
        <w:rPr>
          <w:rFonts w:eastAsia="Times New Roman"/>
        </w:rPr>
        <w:t xml:space="preserve">.  </w:t>
      </w:r>
      <w:r>
        <w:rPr>
          <w:rFonts w:eastAsia="Times New Roman"/>
        </w:rPr>
        <w:t>Miami web pages</w:t>
      </w:r>
      <w:r w:rsidR="0027411F" w:rsidRPr="0027411F">
        <w:rPr>
          <w:rFonts w:eastAsia="Times New Roman"/>
        </w:rPr>
        <w:t xml:space="preserve"> that are intended fo</w:t>
      </w:r>
      <w:r w:rsidR="0027411F">
        <w:rPr>
          <w:rFonts w:eastAsia="Times New Roman"/>
        </w:rPr>
        <w:t xml:space="preserve">r an external audience are created by University Communications &amp; Marketing </w:t>
      </w:r>
      <w:r w:rsidR="0027411F" w:rsidRPr="0027411F">
        <w:rPr>
          <w:rFonts w:eastAsia="Times New Roman"/>
        </w:rPr>
        <w:t xml:space="preserve">in concert with the department head (academic or administrative) and other staff assigned web responsibility.  </w:t>
      </w:r>
      <w:r w:rsidR="0027411F">
        <w:rPr>
          <w:rFonts w:eastAsia="Times New Roman"/>
        </w:rPr>
        <w:t xml:space="preserve">Before sites are made live, they are audited by UCM and the </w:t>
      </w:r>
      <w:r w:rsidR="00722861">
        <w:rPr>
          <w:rFonts w:eastAsia="Times New Roman"/>
        </w:rPr>
        <w:t xml:space="preserve">responsible unit.  Once the sites are live, they fall </w:t>
      </w:r>
      <w:r w:rsidR="0027411F" w:rsidRPr="0027411F">
        <w:rPr>
          <w:rFonts w:eastAsia="Times New Roman"/>
        </w:rPr>
        <w:t>under the purview of the department head (and ultimately) t</w:t>
      </w:r>
      <w:r w:rsidR="00722861">
        <w:rPr>
          <w:rFonts w:eastAsia="Times New Roman"/>
        </w:rPr>
        <w:t xml:space="preserve">he </w:t>
      </w:r>
      <w:r w:rsidR="00D93E21">
        <w:rPr>
          <w:rFonts w:eastAsia="Times New Roman"/>
        </w:rPr>
        <w:t>dean or VP over that area.  UCM</w:t>
      </w:r>
      <w:r w:rsidR="0027411F" w:rsidRPr="0027411F">
        <w:rPr>
          <w:rFonts w:eastAsia="Times New Roman"/>
        </w:rPr>
        <w:t xml:space="preserve"> train</w:t>
      </w:r>
      <w:r w:rsidR="00722861">
        <w:rPr>
          <w:rFonts w:eastAsia="Times New Roman"/>
        </w:rPr>
        <w:t>s “web p</w:t>
      </w:r>
      <w:r w:rsidR="0027411F" w:rsidRPr="0027411F">
        <w:rPr>
          <w:rFonts w:eastAsia="Times New Roman"/>
        </w:rPr>
        <w:t>ublishers,</w:t>
      </w:r>
      <w:r w:rsidR="00722861">
        <w:rPr>
          <w:rFonts w:eastAsia="Times New Roman"/>
        </w:rPr>
        <w:t>”</w:t>
      </w:r>
      <w:r w:rsidR="0027411F" w:rsidRPr="0027411F">
        <w:rPr>
          <w:rFonts w:eastAsia="Times New Roman"/>
        </w:rPr>
        <w:t xml:space="preserve"> who are required to approve what </w:t>
      </w:r>
      <w:r w:rsidR="00722861">
        <w:rPr>
          <w:rFonts w:eastAsia="Times New Roman"/>
        </w:rPr>
        <w:t>is posted before it appears.  UCM</w:t>
      </w:r>
      <w:r w:rsidR="0027411F" w:rsidRPr="0027411F">
        <w:rPr>
          <w:rFonts w:eastAsia="Times New Roman"/>
        </w:rPr>
        <w:t xml:space="preserve"> also periodically audit</w:t>
      </w:r>
      <w:r w:rsidR="00722861">
        <w:rPr>
          <w:rFonts w:eastAsia="Times New Roman"/>
        </w:rPr>
        <w:t>s all sites</w:t>
      </w:r>
      <w:r w:rsidR="0027411F" w:rsidRPr="0027411F">
        <w:rPr>
          <w:rFonts w:eastAsia="Times New Roman"/>
        </w:rPr>
        <w:t xml:space="preserve"> to find information that might be inaccurate or outdated.</w:t>
      </w:r>
      <w:r w:rsidR="00722861">
        <w:rPr>
          <w:rFonts w:eastAsia="Times New Roman"/>
        </w:rPr>
        <w:t>  The university recently enacted a web policy requiring</w:t>
      </w:r>
      <w:r w:rsidR="0027411F" w:rsidRPr="0027411F">
        <w:rPr>
          <w:rFonts w:eastAsia="Times New Roman"/>
        </w:rPr>
        <w:t xml:space="preserve"> that sites be updated every six months, or they may be removed until accurate/current i</w:t>
      </w:r>
      <w:r w:rsidR="00722861">
        <w:rPr>
          <w:rFonts w:eastAsia="Times New Roman"/>
        </w:rPr>
        <w:t xml:space="preserve">nformation is provided.  UCM also </w:t>
      </w:r>
      <w:r w:rsidR="0027411F" w:rsidRPr="0027411F">
        <w:rPr>
          <w:rFonts w:eastAsia="Times New Roman"/>
        </w:rPr>
        <w:t>maintain</w:t>
      </w:r>
      <w:r w:rsidR="00722861">
        <w:rPr>
          <w:rFonts w:eastAsia="Times New Roman"/>
        </w:rPr>
        <w:t>s a “s</w:t>
      </w:r>
      <w:r w:rsidR="0027411F" w:rsidRPr="0027411F">
        <w:rPr>
          <w:rFonts w:eastAsia="Times New Roman"/>
        </w:rPr>
        <w:t>earch</w:t>
      </w:r>
      <w:r w:rsidR="00722861">
        <w:rPr>
          <w:rFonts w:eastAsia="Times New Roman"/>
        </w:rPr>
        <w:t>”</w:t>
      </w:r>
      <w:r w:rsidR="0027411F" w:rsidRPr="0027411F">
        <w:rPr>
          <w:rFonts w:eastAsia="Times New Roman"/>
        </w:rPr>
        <w:t xml:space="preserve"> function that is tested for accuracy on a regular basis, and maintain</w:t>
      </w:r>
      <w:r>
        <w:rPr>
          <w:rFonts w:eastAsia="Times New Roman"/>
        </w:rPr>
        <w:t>s</w:t>
      </w:r>
      <w:r w:rsidR="0027411F" w:rsidRPr="0027411F">
        <w:rPr>
          <w:rFonts w:eastAsia="Times New Roman"/>
        </w:rPr>
        <w:t xml:space="preserve"> all the headers and footers with accurate contact information and links that are common to the entire university.</w:t>
      </w:r>
    </w:p>
    <w:p w:rsidR="0027411F" w:rsidRPr="0027411F" w:rsidRDefault="0027411F" w:rsidP="0027411F">
      <w:pPr>
        <w:rPr>
          <w:rFonts w:ascii="Arial" w:eastAsia="Times New Roman" w:hAnsi="Arial"/>
          <w:color w:val="000000"/>
          <w:sz w:val="20"/>
          <w:szCs w:val="20"/>
        </w:rPr>
      </w:pPr>
      <w:r w:rsidRPr="0027411F">
        <w:rPr>
          <w:rFonts w:eastAsia="Times New Roman"/>
        </w:rPr>
        <w:lastRenderedPageBreak/>
        <w:t> </w:t>
      </w:r>
    </w:p>
    <w:p w:rsidR="0027411F" w:rsidRPr="0027411F" w:rsidRDefault="0027411F" w:rsidP="0027411F">
      <w:pPr>
        <w:rPr>
          <w:rFonts w:ascii="Arial" w:eastAsia="Times New Roman" w:hAnsi="Arial"/>
          <w:color w:val="000000"/>
          <w:sz w:val="20"/>
          <w:szCs w:val="20"/>
        </w:rPr>
      </w:pPr>
      <w:r w:rsidRPr="0027411F">
        <w:rPr>
          <w:rFonts w:eastAsia="Times New Roman"/>
        </w:rPr>
        <w:t>In an urgent situation</w:t>
      </w:r>
      <w:r w:rsidR="00D6324E">
        <w:rPr>
          <w:rFonts w:eastAsia="Times New Roman"/>
        </w:rPr>
        <w:t xml:space="preserve"> and as per the Clery Act, Miami sends</w:t>
      </w:r>
      <w:r w:rsidRPr="0027411F">
        <w:rPr>
          <w:rFonts w:eastAsia="Times New Roman"/>
        </w:rPr>
        <w:t xml:space="preserve"> information to students via the alert system, which sends texts and emails, and to parents who opt to subscribe to the alert system. </w:t>
      </w:r>
    </w:p>
    <w:p w:rsidR="0030160E" w:rsidRDefault="00F24793" w:rsidP="00A4656B">
      <w:r w:rsidRPr="00A4656B">
        <w:t xml:space="preserve">The </w:t>
      </w:r>
      <w:r w:rsidR="0030033D">
        <w:t>staff of the Division of Enrollment Management and Student Success (EMSS)</w:t>
      </w:r>
      <w:r w:rsidR="004D22BE" w:rsidRPr="00A4656B">
        <w:t xml:space="preserve"> </w:t>
      </w:r>
      <w:r w:rsidRPr="00A4656B">
        <w:t>employ</w:t>
      </w:r>
      <w:r w:rsidR="0085626F">
        <w:t>s</w:t>
      </w:r>
      <w:r w:rsidRPr="00A4656B">
        <w:t xml:space="preserve"> NACAC’s principles of good practice to ensure that</w:t>
      </w:r>
      <w:r w:rsidR="004D22BE" w:rsidRPr="00A4656B">
        <w:t xml:space="preserve"> the information they convey is accurate, and </w:t>
      </w:r>
      <w:r w:rsidR="0085626F">
        <w:t>recruitment activities are aligned to industry best practices.  Staff members</w:t>
      </w:r>
      <w:r w:rsidR="004D22BE" w:rsidRPr="00A4656B">
        <w:t xml:space="preserve"> are aided by a committee of </w:t>
      </w:r>
      <w:r w:rsidR="00C25EED" w:rsidRPr="00A4656B">
        <w:t xml:space="preserve">faculty and staff </w:t>
      </w:r>
      <w:r w:rsidR="004D22BE" w:rsidRPr="00A4656B">
        <w:t xml:space="preserve">liaisons from academic divisions </w:t>
      </w:r>
      <w:r w:rsidR="0085626F">
        <w:t xml:space="preserve">and University Communications and Marketing staff </w:t>
      </w:r>
      <w:r w:rsidR="004D22BE" w:rsidRPr="00A4656B">
        <w:t>who review</w:t>
      </w:r>
      <w:r w:rsidR="0085626F">
        <w:t xml:space="preserve"> and update all marketing </w:t>
      </w:r>
      <w:r w:rsidR="004D22BE" w:rsidRPr="00A4656B">
        <w:t>and i</w:t>
      </w:r>
      <w:r w:rsidR="0085626F">
        <w:t>nformation conveyed in the paper and electronic recruitment materials</w:t>
      </w:r>
      <w:r w:rsidR="00C25EED" w:rsidRPr="00A4656B">
        <w:t xml:space="preserve"> to further ensure accuracy and transparency in our messaging.</w:t>
      </w:r>
      <w:r w:rsidR="00A4656B" w:rsidRPr="00A4656B">
        <w:t xml:space="preserve">  </w:t>
      </w:r>
      <w:r w:rsidR="00550446">
        <w:t xml:space="preserve">Training </w:t>
      </w:r>
      <w:r w:rsidR="00F16416">
        <w:t>(along with a handbook) is</w:t>
      </w:r>
      <w:r w:rsidR="00042413">
        <w:t xml:space="preserve"> given to all Miami University Community Outreach and Recruitment Program (MUCORP) </w:t>
      </w:r>
      <w:r w:rsidR="00F16416">
        <w:t xml:space="preserve">volunteers </w:t>
      </w:r>
      <w:r w:rsidR="00550446">
        <w:t xml:space="preserve">which emphasizes the need to convey accurate information and to use ethical practices.  </w:t>
      </w:r>
      <w:r w:rsidR="00A4656B" w:rsidRPr="00A4656B">
        <w:t>Miami also participates in the Voluntary System of Accountability (VSA) wh</w:t>
      </w:r>
      <w:r w:rsidR="00F16416">
        <w:t>ich is an initiative by public four</w:t>
      </w:r>
      <w:r w:rsidR="00A4656B" w:rsidRPr="00A4656B">
        <w:t>-year universities to supply clear, accessible,</w:t>
      </w:r>
      <w:r w:rsidR="00A4656B">
        <w:t xml:space="preserve"> </w:t>
      </w:r>
      <w:r w:rsidR="00A4656B" w:rsidRPr="00A4656B">
        <w:t>and comparable information on the undergraduate student experience to important constituencies</w:t>
      </w:r>
      <w:r w:rsidR="00A128F4">
        <w:t xml:space="preserve"> through a common web report called</w:t>
      </w:r>
      <w:r w:rsidR="00A4656B" w:rsidRPr="00A4656B">
        <w:t xml:space="preserve"> the College Portrait.</w:t>
      </w:r>
    </w:p>
    <w:p w:rsidR="00760977" w:rsidRDefault="006A0665" w:rsidP="00050395">
      <w:r>
        <w:t>Social media are used to con</w:t>
      </w:r>
      <w:r w:rsidR="009771F6">
        <w:t>vey major announcements as back-</w:t>
      </w:r>
      <w:r>
        <w:t xml:space="preserve">ups to news releases and web sharing. </w:t>
      </w:r>
      <w:r w:rsidR="009771F6">
        <w:t xml:space="preserve"> </w:t>
      </w:r>
      <w:r w:rsidR="00760977">
        <w:t>Facebook, Twitter, Instagram, Pinterest,</w:t>
      </w:r>
      <w:r w:rsidR="009771F6">
        <w:t xml:space="preserve"> Snapchat, and YouTube sites </w:t>
      </w:r>
      <w:r w:rsidR="00760977">
        <w:t xml:space="preserve">convey </w:t>
      </w:r>
      <w:r>
        <w:t xml:space="preserve">reminders about </w:t>
      </w:r>
      <w:r w:rsidR="00760977">
        <w:t xml:space="preserve">critical </w:t>
      </w:r>
      <w:r>
        <w:t xml:space="preserve">events or issues </w:t>
      </w:r>
      <w:r w:rsidR="009771F6">
        <w:t>and</w:t>
      </w:r>
      <w:r>
        <w:t xml:space="preserve"> offer </w:t>
      </w:r>
      <w:r w:rsidR="00760977">
        <w:t xml:space="preserve">timely messages, and </w:t>
      </w:r>
      <w:r w:rsidR="00EF693F">
        <w:t xml:space="preserve">each semester, </w:t>
      </w:r>
      <w:r w:rsidR="00760977">
        <w:t xml:space="preserve">the president hosts “tweet-ups” to encourage questions </w:t>
      </w:r>
      <w:r w:rsidR="00760977" w:rsidRPr="00050395">
        <w:t>from students and</w:t>
      </w:r>
      <w:r w:rsidR="00EF693F">
        <w:t xml:space="preserve"> faculty</w:t>
      </w:r>
      <w:r w:rsidRPr="00050395">
        <w:t>.</w:t>
      </w:r>
    </w:p>
    <w:p w:rsidR="00BB496A" w:rsidRPr="00050395" w:rsidRDefault="0030033D" w:rsidP="00050395">
      <w:r>
        <w:t xml:space="preserve">The </w:t>
      </w:r>
      <w:r w:rsidR="00BB496A" w:rsidRPr="00050395">
        <w:t>Off</w:t>
      </w:r>
      <w:r>
        <w:t>ice of Parent &amp; Family Programs</w:t>
      </w:r>
      <w:r w:rsidR="00BB496A" w:rsidRPr="00050395">
        <w:t xml:space="preserve"> publishes </w:t>
      </w:r>
      <w:r w:rsidR="00BB496A" w:rsidRPr="00A128F4">
        <w:rPr>
          <w:i/>
        </w:rPr>
        <w:t>eeweemakiki</w:t>
      </w:r>
      <w:r w:rsidR="00BB496A" w:rsidRPr="00050395">
        <w:t> (Myaamia word for "my relatives"), a monthl</w:t>
      </w:r>
      <w:r w:rsidR="00EF693F">
        <w:t xml:space="preserve">y online newsletter for parents, </w:t>
      </w:r>
      <w:r w:rsidR="00BB496A" w:rsidRPr="00050395">
        <w:t>as w</w:t>
      </w:r>
      <w:r w:rsidR="009771F6">
        <w:t>ell as the</w:t>
      </w:r>
      <w:r w:rsidR="00A128F4">
        <w:t xml:space="preserve"> Miami family calendar &amp; h</w:t>
      </w:r>
      <w:r w:rsidR="00BB496A" w:rsidRPr="00050395">
        <w:t xml:space="preserve">andbook, which is mailed to the student’s home </w:t>
      </w:r>
      <w:r w:rsidR="00050395">
        <w:t>address in June</w:t>
      </w:r>
      <w:r w:rsidR="00BB496A" w:rsidRPr="00050395">
        <w:t>. </w:t>
      </w:r>
      <w:r w:rsidR="00EF693F">
        <w:t xml:space="preserve">The </w:t>
      </w:r>
      <w:r w:rsidR="00BB496A" w:rsidRPr="00A128F4">
        <w:rPr>
          <w:i/>
        </w:rPr>
        <w:t>Miami Family Focus</w:t>
      </w:r>
      <w:r w:rsidR="00BB496A" w:rsidRPr="00050395">
        <w:t>, a newsletter for parents and guardians of first year students</w:t>
      </w:r>
      <w:r w:rsidR="00EF693F">
        <w:t>,</w:t>
      </w:r>
      <w:r w:rsidR="00BB496A" w:rsidRPr="00050395">
        <w:t xml:space="preserve"> is published about 22 times each academic year and is emailed t</w:t>
      </w:r>
      <w:r w:rsidR="002B2586">
        <w:t>o parents and guardians</w:t>
      </w:r>
      <w:r w:rsidR="00A128F4">
        <w:t xml:space="preserve">.  Information in both </w:t>
      </w:r>
      <w:r w:rsidR="00BB496A" w:rsidRPr="00050395">
        <w:t>newsletters is sent to a variety of offices for proofing.  For the </w:t>
      </w:r>
      <w:r w:rsidR="00BB496A" w:rsidRPr="001F189E">
        <w:rPr>
          <w:i/>
        </w:rPr>
        <w:t>eeweemakiki</w:t>
      </w:r>
      <w:r w:rsidR="00BB496A" w:rsidRPr="00050395">
        <w:t> newsletter, a call for articles is sent each month</w:t>
      </w:r>
      <w:r w:rsidR="009771F6">
        <w:t>, and those who submit articles are</w:t>
      </w:r>
      <w:r w:rsidR="00BB496A" w:rsidRPr="00050395">
        <w:t xml:space="preserve"> contacted to proof the article before publication.  </w:t>
      </w:r>
    </w:p>
    <w:p w:rsidR="003F6854" w:rsidRDefault="00BB496A" w:rsidP="00050395">
      <w:r w:rsidRPr="00050395">
        <w:t xml:space="preserve">For the </w:t>
      </w:r>
      <w:r w:rsidRPr="00A128F4">
        <w:rPr>
          <w:i/>
        </w:rPr>
        <w:t>Family Focus</w:t>
      </w:r>
      <w:r w:rsidR="00A128F4">
        <w:t>, the student affairs vice p</w:t>
      </w:r>
      <w:r w:rsidRPr="00050395">
        <w:t>resident</w:t>
      </w:r>
      <w:r w:rsidR="00A128F4">
        <w:t xml:space="preserve"> and associate vice president</w:t>
      </w:r>
      <w:r w:rsidR="00023E3A">
        <w:t xml:space="preserve"> </w:t>
      </w:r>
      <w:r w:rsidR="006A04ED">
        <w:t>collaborate with the director of parent &amp; family p</w:t>
      </w:r>
      <w:r w:rsidRPr="00050395">
        <w:t>rograms to write</w:t>
      </w:r>
      <w:r w:rsidR="0030033D">
        <w:t xml:space="preserve"> and update the text</w:t>
      </w:r>
      <w:r w:rsidRPr="00050395">
        <w:t>.  Th</w:t>
      </w:r>
      <w:r w:rsidR="00023E3A">
        <w:t>e offices</w:t>
      </w:r>
      <w:r w:rsidRPr="00050395">
        <w:t xml:space="preserve"> around the university, which provide information in this newsletter, are ask</w:t>
      </w:r>
      <w:r w:rsidR="006A04ED">
        <w:t xml:space="preserve">ed to proof relevant text before it is published. </w:t>
      </w:r>
      <w:r w:rsidR="00023E3A">
        <w:t>The c</w:t>
      </w:r>
      <w:r w:rsidRPr="00050395">
        <w:t xml:space="preserve">alendar/handbook information is shared in </w:t>
      </w:r>
      <w:r w:rsidR="006A04ED">
        <w:t xml:space="preserve">a Google spreadsheet </w:t>
      </w:r>
      <w:r w:rsidR="003F6854">
        <w:t xml:space="preserve">and verified </w:t>
      </w:r>
      <w:r w:rsidR="006A04ED">
        <w:t>with</w:t>
      </w:r>
      <w:r w:rsidRPr="00050395">
        <w:t xml:space="preserve"> each appropriate office. </w:t>
      </w:r>
      <w:r w:rsidR="006A04ED">
        <w:t> </w:t>
      </w:r>
    </w:p>
    <w:p w:rsidR="00BB496A" w:rsidRPr="00050395" w:rsidRDefault="00BB496A" w:rsidP="00050395">
      <w:r w:rsidRPr="00050395">
        <w:t>The Office of Parent &amp; Fam</w:t>
      </w:r>
      <w:r w:rsidR="00357C1E">
        <w:t>ily Programs supports a website</w:t>
      </w:r>
      <w:r w:rsidRPr="00050395">
        <w:t xml:space="preserve">, which is regularly updated </w:t>
      </w:r>
      <w:r w:rsidR="00023E3A">
        <w:t xml:space="preserve">and </w:t>
      </w:r>
      <w:r w:rsidRPr="00050395">
        <w:t>under the supervisi</w:t>
      </w:r>
      <w:r w:rsidR="0030033D">
        <w:t>on of the director and</w:t>
      </w:r>
      <w:r w:rsidRPr="00050395">
        <w:t xml:space="preserve"> the Office of University Com</w:t>
      </w:r>
      <w:r w:rsidR="00023E3A">
        <w:t>munications</w:t>
      </w:r>
      <w:r w:rsidR="003F6854">
        <w:t xml:space="preserve"> &amp; Marketing</w:t>
      </w:r>
      <w:r w:rsidR="00023E3A">
        <w:t xml:space="preserve">.  Individual venues and </w:t>
      </w:r>
      <w:r w:rsidR="00021550">
        <w:t>businesses are contact</w:t>
      </w:r>
      <w:r w:rsidRPr="00050395">
        <w:t xml:space="preserve">ed twice per year to verify online information.  These same </w:t>
      </w:r>
      <w:r w:rsidR="003F6854">
        <w:t>businesses are included in the family c</w:t>
      </w:r>
      <w:r w:rsidRPr="00050395">
        <w:t>alendar and in links to the other newsletters.</w:t>
      </w:r>
    </w:p>
    <w:p w:rsidR="00042413" w:rsidRDefault="003F6854" w:rsidP="00042413">
      <w:r>
        <w:t xml:space="preserve">The Division of </w:t>
      </w:r>
      <w:r w:rsidR="0014389F">
        <w:t xml:space="preserve">University Advancement </w:t>
      </w:r>
      <w:r w:rsidR="006478C0">
        <w:t>produces a number of important alumni publications, including</w:t>
      </w:r>
      <w:r w:rsidR="00222E6C">
        <w:t>:</w:t>
      </w:r>
      <w:r w:rsidR="006478C0">
        <w:t xml:space="preserve"> </w:t>
      </w:r>
      <w:r w:rsidR="00B40EA4">
        <w:t>an e-newsle</w:t>
      </w:r>
      <w:r w:rsidR="005803B8">
        <w:t>tter which provides updates on key initiative</w:t>
      </w:r>
      <w:r w:rsidR="00222E6C">
        <w:t>s, milestones, and improvements;</w:t>
      </w:r>
      <w:r w:rsidR="005803B8">
        <w:t xml:space="preserve"> the </w:t>
      </w:r>
      <w:r w:rsidR="005803B8" w:rsidRPr="00CE7921">
        <w:rPr>
          <w:i/>
        </w:rPr>
        <w:t>Giving Tribute</w:t>
      </w:r>
      <w:r w:rsidR="005803B8">
        <w:t xml:space="preserve"> report which provide</w:t>
      </w:r>
      <w:r w:rsidR="00182FA8">
        <w:t>s donors with an update on the u</w:t>
      </w:r>
      <w:r w:rsidR="005803B8">
        <w:t>niversity</w:t>
      </w:r>
      <w:r w:rsidR="00222E6C">
        <w:t>;</w:t>
      </w:r>
      <w:r w:rsidR="00B40EA4">
        <w:t xml:space="preserve"> and the </w:t>
      </w:r>
      <w:r w:rsidR="00B40EA4" w:rsidRPr="003F6854">
        <w:rPr>
          <w:i/>
        </w:rPr>
        <w:t>Miamian</w:t>
      </w:r>
      <w:r w:rsidR="00B40EA4">
        <w:t xml:space="preserve"> magazine</w:t>
      </w:r>
      <w:r w:rsidR="005803B8">
        <w:t xml:space="preserve"> which features alumni as well as students and faculty who ex</w:t>
      </w:r>
      <w:r w:rsidR="00182FA8">
        <w:t>emplify the core values of the u</w:t>
      </w:r>
      <w:r w:rsidR="005803B8">
        <w:t>niversity</w:t>
      </w:r>
      <w:r w:rsidR="0068025D">
        <w:t>.</w:t>
      </w:r>
      <w:r w:rsidR="00042413">
        <w:t xml:space="preserve"> Information gathered for these publications is verified through ongoing research and database maintenance, including routine address update tools, contact reports maintained by Advancement staff, standard accounting practices related to gifts, and direct interviews with story subjects.</w:t>
      </w:r>
    </w:p>
    <w:p w:rsidR="000B490D" w:rsidRDefault="00D65BDC" w:rsidP="00C25EED">
      <w:r>
        <w:t>Alt</w:t>
      </w:r>
      <w:r w:rsidR="003F6854">
        <w:t>hough these outlets serve</w:t>
      </w:r>
      <w:r w:rsidR="00222E6C">
        <w:t xml:space="preserve"> significant</w:t>
      </w:r>
      <w:r w:rsidR="003F6854">
        <w:t xml:space="preserve"> purposes</w:t>
      </w:r>
      <w:r>
        <w:t xml:space="preserve">, Miami is taking additional steps to make important information even more easily accessible and comprehensible. </w:t>
      </w:r>
    </w:p>
    <w:p w:rsidR="00E11FF5" w:rsidRDefault="004D22BE" w:rsidP="00C25EED">
      <w:r>
        <w:lastRenderedPageBreak/>
        <w:t xml:space="preserve">UCM </w:t>
      </w:r>
      <w:r w:rsidR="00E11FF5">
        <w:t>has an extensive</w:t>
      </w:r>
      <w:r w:rsidR="00E11FF5" w:rsidRPr="008A3E33">
        <w:t xml:space="preserve"> strategic plan</w:t>
      </w:r>
      <w:r w:rsidR="00E11FF5">
        <w:t xml:space="preserve"> which compleme</w:t>
      </w:r>
      <w:r w:rsidR="003F6854">
        <w:t>nts the Miami</w:t>
      </w:r>
      <w:r w:rsidR="00E11FF5">
        <w:t xml:space="preserve"> 2020 plan. Key highlights include:</w:t>
      </w:r>
    </w:p>
    <w:p w:rsidR="00E11FF5" w:rsidRDefault="00E11FF5" w:rsidP="000945E2">
      <w:pPr>
        <w:pStyle w:val="ListParagraph"/>
        <w:numPr>
          <w:ilvl w:val="0"/>
          <w:numId w:val="35"/>
        </w:numPr>
      </w:pPr>
      <w:r>
        <w:t>Centralization of the university website and a complete overhaul (rebuilding) of it to create unified templates, ease of navigation</w:t>
      </w:r>
      <w:r w:rsidR="00445F90">
        <w:t>,</w:t>
      </w:r>
      <w:r>
        <w:t xml:space="preserve"> and ability to find critical information such as costs and academic programs, and ease in updating information s</w:t>
      </w:r>
      <w:r w:rsidR="00357C1E">
        <w:t>o that information is current;</w:t>
      </w:r>
    </w:p>
    <w:p w:rsidR="00E11FF5" w:rsidRDefault="00E11FF5" w:rsidP="000945E2">
      <w:pPr>
        <w:pStyle w:val="ListParagraph"/>
        <w:numPr>
          <w:ilvl w:val="0"/>
          <w:numId w:val="35"/>
        </w:numPr>
      </w:pPr>
      <w:r>
        <w:t>Conversion of key manuals and handbooks to accessible formats to that t</w:t>
      </w:r>
      <w:r w:rsidR="00357C1E">
        <w:t>hey may be continually updated;</w:t>
      </w:r>
      <w:r>
        <w:t xml:space="preserve"> </w:t>
      </w:r>
    </w:p>
    <w:p w:rsidR="00E11FF5" w:rsidRDefault="00E11FF5" w:rsidP="000945E2">
      <w:pPr>
        <w:pStyle w:val="ListParagraph"/>
        <w:numPr>
          <w:ilvl w:val="0"/>
          <w:numId w:val="35"/>
        </w:numPr>
      </w:pPr>
      <w:r>
        <w:t>Annual training sessions for web content developers</w:t>
      </w:r>
      <w:r w:rsidR="00357C1E">
        <w:t>;</w:t>
      </w:r>
    </w:p>
    <w:p w:rsidR="00E11FF5" w:rsidRDefault="00E11FF5" w:rsidP="000945E2">
      <w:pPr>
        <w:pStyle w:val="ListParagraph"/>
        <w:numPr>
          <w:ilvl w:val="0"/>
          <w:numId w:val="35"/>
        </w:numPr>
      </w:pPr>
      <w:r>
        <w:t>New policies for social media and web requiring updated, accurate information</w:t>
      </w:r>
      <w:r w:rsidR="00357C1E">
        <w:t>;</w:t>
      </w:r>
    </w:p>
    <w:p w:rsidR="00E11FF5" w:rsidRDefault="00E11FF5" w:rsidP="000945E2">
      <w:pPr>
        <w:pStyle w:val="ListParagraph"/>
        <w:numPr>
          <w:ilvl w:val="0"/>
          <w:numId w:val="35"/>
        </w:numPr>
      </w:pPr>
      <w:r>
        <w:t>Systematic annual updates of manuals</w:t>
      </w:r>
      <w:r w:rsidR="00357C1E">
        <w:t>;</w:t>
      </w:r>
    </w:p>
    <w:p w:rsidR="00E11FF5" w:rsidRDefault="00E11FF5" w:rsidP="000945E2">
      <w:pPr>
        <w:pStyle w:val="ListParagraph"/>
        <w:numPr>
          <w:ilvl w:val="0"/>
          <w:numId w:val="35"/>
        </w:numPr>
      </w:pPr>
      <w:r>
        <w:t>Redesign of alumni magazine</w:t>
      </w:r>
      <w:r w:rsidR="00357C1E">
        <w:t>;</w:t>
      </w:r>
    </w:p>
    <w:p w:rsidR="00E11FF5" w:rsidRDefault="00E11FF5" w:rsidP="000945E2">
      <w:pPr>
        <w:pStyle w:val="ListParagraph"/>
        <w:numPr>
          <w:ilvl w:val="0"/>
          <w:numId w:val="35"/>
        </w:numPr>
      </w:pPr>
      <w:r>
        <w:t>Updated crisis plans, including emergency preparedness and safety information sites</w:t>
      </w:r>
      <w:r w:rsidR="00357C1E">
        <w:t>;</w:t>
      </w:r>
    </w:p>
    <w:p w:rsidR="00E11FF5" w:rsidRDefault="00445F90" w:rsidP="000945E2">
      <w:pPr>
        <w:pStyle w:val="ListParagraph"/>
        <w:numPr>
          <w:ilvl w:val="0"/>
          <w:numId w:val="35"/>
        </w:numPr>
      </w:pPr>
      <w:r>
        <w:t>Report c</w:t>
      </w:r>
      <w:r w:rsidR="00E11FF5">
        <w:t>ard to share information about student profiles</w:t>
      </w:r>
      <w:r w:rsidR="0032324B">
        <w:t>.</w:t>
      </w:r>
    </w:p>
    <w:p w:rsidR="00E11FF5" w:rsidRDefault="00E11FF5" w:rsidP="0032324B">
      <w:r>
        <w:t xml:space="preserve">During 2014-2015, the Division of Enrollment Management &amp; Student Success is launching a virtual and </w:t>
      </w:r>
      <w:r w:rsidR="0032324B">
        <w:t xml:space="preserve">physical </w:t>
      </w:r>
      <w:r>
        <w:t>one-s</w:t>
      </w:r>
      <w:r w:rsidR="00021550">
        <w:t xml:space="preserve">top </w:t>
      </w:r>
      <w:r w:rsidR="00445F90">
        <w:t>center that will give students immediate</w:t>
      </w:r>
      <w:r>
        <w:t xml:space="preserve"> access </w:t>
      </w:r>
      <w:r w:rsidR="00445F90">
        <w:t xml:space="preserve">to </w:t>
      </w:r>
      <w:r>
        <w:t>c</w:t>
      </w:r>
      <w:r w:rsidR="0032324B">
        <w:t>ritical information relating to degree requirements, progress toward completing requirements</w:t>
      </w:r>
      <w:r w:rsidR="00DE0A06">
        <w:t xml:space="preserve"> (degree audit report)</w:t>
      </w:r>
      <w:r w:rsidR="0032324B">
        <w:t>, financial aid and bursar account information, a</w:t>
      </w:r>
      <w:r w:rsidR="00D475EF">
        <w:t xml:space="preserve">nd </w:t>
      </w:r>
      <w:r w:rsidR="0032324B">
        <w:t>academic support</w:t>
      </w:r>
      <w:r w:rsidR="00D475EF">
        <w:t xml:space="preserve"> resources</w:t>
      </w:r>
      <w:r w:rsidR="0032324B">
        <w:t xml:space="preserve">.  It also will enable students to </w:t>
      </w:r>
      <w:r w:rsidR="00DE0A06">
        <w:t>register for classes, add and drop courses, submit petitions, and schedule advising appointments</w:t>
      </w:r>
      <w:r w:rsidR="00445F90">
        <w:t xml:space="preserve"> online</w:t>
      </w:r>
      <w:r w:rsidR="00DE0A06">
        <w:t xml:space="preserve">.  </w:t>
      </w:r>
    </w:p>
    <w:p w:rsidR="00E11FF5" w:rsidRDefault="00445F90" w:rsidP="006704F5">
      <w:r>
        <w:t>The general c</w:t>
      </w:r>
      <w:r w:rsidR="00D06A36">
        <w:t>ounsel is actively working on identifying a policy management software system</w:t>
      </w:r>
      <w:r w:rsidR="006704F5">
        <w:t xml:space="preserve"> to be implemented for Miami to ensure greater efficiency and accuracy in compliance.</w:t>
      </w:r>
    </w:p>
    <w:p w:rsidR="00AC2865" w:rsidRDefault="008302E8" w:rsidP="008302E8">
      <w:r>
        <w:t>Over the past two years, the Undergraduate Academic Advising Council has t</w:t>
      </w:r>
      <w:r w:rsidR="00D475EF">
        <w:t>aken active steps to improve</w:t>
      </w:r>
      <w:r>
        <w:t xml:space="preserve"> consistency in advising and advising-</w:t>
      </w:r>
      <w:r w:rsidR="00D475EF">
        <w:t>related information</w:t>
      </w:r>
      <w:r>
        <w:t xml:space="preserve"> such as:</w:t>
      </w:r>
    </w:p>
    <w:p w:rsidR="00CC15D3" w:rsidRDefault="00CC15D3" w:rsidP="000945E2">
      <w:pPr>
        <w:pStyle w:val="ListParagraph"/>
        <w:numPr>
          <w:ilvl w:val="0"/>
          <w:numId w:val="36"/>
        </w:numPr>
      </w:pPr>
      <w:r>
        <w:t>Creating a shared advising philosophy and outcomes which include providing transparent and clear information to students about their degree requirements and progress;</w:t>
      </w:r>
    </w:p>
    <w:p w:rsidR="008302E8" w:rsidRDefault="008302E8" w:rsidP="000945E2">
      <w:pPr>
        <w:pStyle w:val="ListParagraph"/>
        <w:numPr>
          <w:ilvl w:val="0"/>
          <w:numId w:val="36"/>
        </w:numPr>
      </w:pPr>
      <w:r>
        <w:t>Developing advisor training modules that are used across all academic divisions;</w:t>
      </w:r>
    </w:p>
    <w:p w:rsidR="008302E8" w:rsidRDefault="008302E8" w:rsidP="000945E2">
      <w:pPr>
        <w:pStyle w:val="ListParagraph"/>
        <w:numPr>
          <w:ilvl w:val="0"/>
          <w:numId w:val="36"/>
        </w:numPr>
      </w:pPr>
      <w:r>
        <w:t>Creating online advising-related resources for students and advisors to supplement the training modules;</w:t>
      </w:r>
    </w:p>
    <w:p w:rsidR="00CC15D3" w:rsidRDefault="00E40BB6" w:rsidP="000945E2">
      <w:pPr>
        <w:pStyle w:val="ListParagraph"/>
        <w:numPr>
          <w:ilvl w:val="0"/>
          <w:numId w:val="36"/>
        </w:numPr>
      </w:pPr>
      <w:r>
        <w:t>Designing and offering a new first-year e</w:t>
      </w:r>
      <w:r w:rsidR="00CC15D3">
        <w:t xml:space="preserve">xperience </w:t>
      </w:r>
      <w:r w:rsidR="00D475EF">
        <w:t xml:space="preserve">(FYE) </w:t>
      </w:r>
      <w:r w:rsidR="00CC15D3">
        <w:t>course that includes clear information relating to student success.</w:t>
      </w:r>
    </w:p>
    <w:p w:rsidR="008302E8" w:rsidRDefault="00CC15D3" w:rsidP="006169EA">
      <w:r>
        <w:t xml:space="preserve">Plans are in place to expand the FYE course offerings to all incoming students and to </w:t>
      </w:r>
      <w:r w:rsidR="006169EA">
        <w:t>of</w:t>
      </w:r>
      <w:r w:rsidR="00E40BB6">
        <w:t xml:space="preserve">fer training more widely to </w:t>
      </w:r>
      <w:r w:rsidR="006169EA">
        <w:t>advisors and academic support personnel to ensure that students are receiving accurate, timely</w:t>
      </w:r>
      <w:r w:rsidR="00D475EF">
        <w:t>,</w:t>
      </w:r>
      <w:r w:rsidR="006169EA">
        <w:t xml:space="preserve"> and consistent information about their progress.</w:t>
      </w:r>
    </w:p>
    <w:p w:rsidR="00F130A3" w:rsidRDefault="00F130A3" w:rsidP="00F130A3">
      <w:pPr>
        <w:pStyle w:val="Heading2"/>
      </w:pPr>
      <w:r>
        <w:t>Sources</w:t>
      </w:r>
    </w:p>
    <w:p w:rsidR="00F130A3" w:rsidRPr="00AC22BB" w:rsidRDefault="00F130A3" w:rsidP="00062123">
      <w:pPr>
        <w:pStyle w:val="NoSpacing"/>
        <w:numPr>
          <w:ilvl w:val="0"/>
          <w:numId w:val="5"/>
        </w:numPr>
        <w:ind w:left="342" w:hanging="342"/>
        <w:rPr>
          <w:sz w:val="20"/>
          <w:szCs w:val="20"/>
        </w:rPr>
      </w:pPr>
      <w:r w:rsidRPr="0061076D">
        <w:rPr>
          <w:sz w:val="20"/>
          <w:szCs w:val="20"/>
        </w:rPr>
        <w:t>Quick Facts [http://www.miami.muohio.edu/about-miami/quick-facts/index.html]</w:t>
      </w:r>
      <w:r>
        <w:rPr>
          <w:sz w:val="20"/>
          <w:szCs w:val="20"/>
        </w:rPr>
        <w:t>; Fact Sheets, Report Cards on OIR website</w:t>
      </w:r>
    </w:p>
    <w:p w:rsidR="00F130A3" w:rsidRPr="0061076D" w:rsidRDefault="00F130A3" w:rsidP="00062123">
      <w:pPr>
        <w:pStyle w:val="NoSpacing"/>
        <w:numPr>
          <w:ilvl w:val="0"/>
          <w:numId w:val="5"/>
        </w:numPr>
        <w:ind w:left="342" w:hanging="342"/>
        <w:rPr>
          <w:sz w:val="20"/>
          <w:szCs w:val="20"/>
        </w:rPr>
      </w:pPr>
      <w:r w:rsidRPr="0061076D">
        <w:rPr>
          <w:sz w:val="20"/>
          <w:szCs w:val="20"/>
        </w:rPr>
        <w:t>Website/Bulletin/Handbooks showing:</w:t>
      </w:r>
    </w:p>
    <w:p w:rsidR="00F130A3" w:rsidRPr="0061076D" w:rsidRDefault="00F130A3" w:rsidP="00062123">
      <w:pPr>
        <w:pStyle w:val="NoSpacing"/>
        <w:numPr>
          <w:ilvl w:val="0"/>
          <w:numId w:val="4"/>
        </w:numPr>
        <w:rPr>
          <w:sz w:val="20"/>
          <w:szCs w:val="20"/>
        </w:rPr>
      </w:pPr>
      <w:r w:rsidRPr="0061076D">
        <w:rPr>
          <w:sz w:val="20"/>
          <w:szCs w:val="20"/>
        </w:rPr>
        <w:t>admission policies</w:t>
      </w:r>
      <w:r w:rsidR="00667A3F">
        <w:rPr>
          <w:sz w:val="20"/>
          <w:szCs w:val="20"/>
        </w:rPr>
        <w:t xml:space="preserve"> (regional and Oxford)</w:t>
      </w:r>
    </w:p>
    <w:p w:rsidR="00F130A3" w:rsidRPr="0061076D" w:rsidRDefault="002C67C2" w:rsidP="00062123">
      <w:pPr>
        <w:pStyle w:val="NoSpacing"/>
        <w:numPr>
          <w:ilvl w:val="0"/>
          <w:numId w:val="4"/>
        </w:numPr>
        <w:rPr>
          <w:sz w:val="20"/>
          <w:szCs w:val="20"/>
        </w:rPr>
      </w:pPr>
      <w:r>
        <w:rPr>
          <w:sz w:val="20"/>
          <w:szCs w:val="20"/>
        </w:rPr>
        <w:t>degree requirements (see Academics link on main home page)</w:t>
      </w:r>
    </w:p>
    <w:p w:rsidR="00F130A3" w:rsidRPr="0061076D" w:rsidRDefault="00F130A3" w:rsidP="00062123">
      <w:pPr>
        <w:pStyle w:val="NoSpacing"/>
        <w:numPr>
          <w:ilvl w:val="0"/>
          <w:numId w:val="4"/>
        </w:numPr>
        <w:rPr>
          <w:sz w:val="20"/>
          <w:szCs w:val="20"/>
        </w:rPr>
      </w:pPr>
      <w:r w:rsidRPr="0061076D">
        <w:rPr>
          <w:sz w:val="20"/>
          <w:szCs w:val="20"/>
        </w:rPr>
        <w:t>transfer credit [http://www.units.muohio.edu/reg/transfercredits/index.php]</w:t>
      </w:r>
    </w:p>
    <w:p w:rsidR="00F130A3" w:rsidRPr="0061076D" w:rsidRDefault="00F130A3" w:rsidP="00062123">
      <w:pPr>
        <w:pStyle w:val="NoSpacing"/>
        <w:numPr>
          <w:ilvl w:val="0"/>
          <w:numId w:val="4"/>
        </w:numPr>
        <w:rPr>
          <w:sz w:val="20"/>
          <w:szCs w:val="20"/>
        </w:rPr>
      </w:pPr>
      <w:r w:rsidRPr="0061076D">
        <w:rPr>
          <w:sz w:val="20"/>
          <w:szCs w:val="20"/>
        </w:rPr>
        <w:t>costs for student [http://www.units.muohio.edu/bur/fees/index.php]</w:t>
      </w:r>
    </w:p>
    <w:p w:rsidR="00F130A3" w:rsidRPr="0061076D" w:rsidRDefault="00F130A3" w:rsidP="00062123">
      <w:pPr>
        <w:pStyle w:val="NoSpacing"/>
        <w:numPr>
          <w:ilvl w:val="0"/>
          <w:numId w:val="4"/>
        </w:numPr>
        <w:rPr>
          <w:sz w:val="20"/>
          <w:szCs w:val="20"/>
        </w:rPr>
      </w:pPr>
      <w:r w:rsidRPr="0061076D">
        <w:rPr>
          <w:sz w:val="20"/>
          <w:szCs w:val="20"/>
        </w:rPr>
        <w:t>net cost calculator [http://www.miami.muohio.edu/admission/finaid/calculator.html]</w:t>
      </w:r>
    </w:p>
    <w:p w:rsidR="00F130A3" w:rsidRPr="0061076D" w:rsidRDefault="00F130A3" w:rsidP="00062123">
      <w:pPr>
        <w:pStyle w:val="NoSpacing"/>
        <w:numPr>
          <w:ilvl w:val="0"/>
          <w:numId w:val="4"/>
        </w:numPr>
        <w:rPr>
          <w:sz w:val="20"/>
          <w:szCs w:val="20"/>
        </w:rPr>
      </w:pPr>
      <w:r w:rsidRPr="0061076D">
        <w:rPr>
          <w:sz w:val="20"/>
          <w:szCs w:val="20"/>
        </w:rPr>
        <w:t>privacy of student records (FERPA) [http://www.miami.muohio.edu/about-miami/publications-and-policies/student-consumer-info/privacy-student-records.html</w:t>
      </w:r>
    </w:p>
    <w:p w:rsidR="00F130A3" w:rsidRPr="0061076D" w:rsidRDefault="00F130A3" w:rsidP="00062123">
      <w:pPr>
        <w:pStyle w:val="NoSpacing"/>
        <w:numPr>
          <w:ilvl w:val="0"/>
          <w:numId w:val="6"/>
        </w:numPr>
        <w:ind w:left="342" w:hanging="342"/>
        <w:rPr>
          <w:sz w:val="20"/>
          <w:szCs w:val="20"/>
        </w:rPr>
      </w:pPr>
      <w:r w:rsidRPr="0061076D">
        <w:rPr>
          <w:sz w:val="20"/>
          <w:szCs w:val="20"/>
        </w:rPr>
        <w:t>Student Handbook policies for academic good standing, probation and dismissal</w:t>
      </w:r>
    </w:p>
    <w:p w:rsidR="00F130A3" w:rsidRPr="0061076D" w:rsidRDefault="00F130A3" w:rsidP="00062123">
      <w:pPr>
        <w:pStyle w:val="NoSpacing"/>
        <w:numPr>
          <w:ilvl w:val="0"/>
          <w:numId w:val="6"/>
        </w:numPr>
        <w:ind w:left="342" w:hanging="342"/>
        <w:rPr>
          <w:sz w:val="20"/>
          <w:szCs w:val="20"/>
        </w:rPr>
      </w:pPr>
      <w:r w:rsidRPr="0061076D">
        <w:rPr>
          <w:sz w:val="20"/>
          <w:szCs w:val="20"/>
        </w:rPr>
        <w:t>Public residency requirements</w:t>
      </w:r>
      <w:r w:rsidR="00667A3F">
        <w:rPr>
          <w:sz w:val="20"/>
          <w:szCs w:val="20"/>
        </w:rPr>
        <w:t xml:space="preserve"> – Student Handbook</w:t>
      </w:r>
    </w:p>
    <w:p w:rsidR="00F130A3" w:rsidRPr="0061076D" w:rsidRDefault="00F130A3" w:rsidP="00062123">
      <w:pPr>
        <w:pStyle w:val="NoSpacing"/>
        <w:numPr>
          <w:ilvl w:val="0"/>
          <w:numId w:val="6"/>
        </w:numPr>
        <w:ind w:left="342" w:hanging="342"/>
        <w:rPr>
          <w:sz w:val="20"/>
          <w:szCs w:val="20"/>
        </w:rPr>
      </w:pPr>
      <w:r w:rsidRPr="0061076D">
        <w:rPr>
          <w:sz w:val="20"/>
          <w:szCs w:val="20"/>
        </w:rPr>
        <w:t>Public statement on accreditation status (HLC) [http://www.units.muohio.edu/accreditation/]</w:t>
      </w:r>
    </w:p>
    <w:p w:rsidR="00F130A3" w:rsidRPr="0061076D" w:rsidRDefault="00F130A3" w:rsidP="00062123">
      <w:pPr>
        <w:pStyle w:val="NoSpacing"/>
        <w:numPr>
          <w:ilvl w:val="0"/>
          <w:numId w:val="6"/>
        </w:numPr>
        <w:ind w:left="342" w:hanging="342"/>
        <w:rPr>
          <w:sz w:val="20"/>
          <w:szCs w:val="20"/>
        </w:rPr>
      </w:pPr>
      <w:r w:rsidRPr="0061076D">
        <w:rPr>
          <w:sz w:val="20"/>
          <w:szCs w:val="20"/>
        </w:rPr>
        <w:lastRenderedPageBreak/>
        <w:t>Voluntary System of</w:t>
      </w:r>
      <w:r>
        <w:rPr>
          <w:sz w:val="20"/>
          <w:szCs w:val="20"/>
        </w:rPr>
        <w:t xml:space="preserve"> Accountability: </w:t>
      </w:r>
      <w:r w:rsidRPr="0061076D">
        <w:rPr>
          <w:sz w:val="20"/>
          <w:szCs w:val="20"/>
        </w:rPr>
        <w:t>http://www.collegeportraits.org/OH/MU</w:t>
      </w:r>
    </w:p>
    <w:p w:rsidR="00550446" w:rsidRDefault="00F130A3" w:rsidP="00550446">
      <w:pPr>
        <w:pStyle w:val="NoSpacing"/>
        <w:numPr>
          <w:ilvl w:val="0"/>
          <w:numId w:val="6"/>
        </w:numPr>
        <w:ind w:left="342" w:hanging="342"/>
        <w:rPr>
          <w:sz w:val="20"/>
          <w:szCs w:val="20"/>
        </w:rPr>
      </w:pPr>
      <w:r w:rsidRPr="0061076D">
        <w:rPr>
          <w:sz w:val="20"/>
          <w:szCs w:val="20"/>
        </w:rPr>
        <w:t>Admission communications</w:t>
      </w:r>
      <w:r w:rsidR="00971D4D">
        <w:rPr>
          <w:sz w:val="20"/>
          <w:szCs w:val="20"/>
        </w:rPr>
        <w:t xml:space="preserve"> - sampling</w:t>
      </w:r>
    </w:p>
    <w:p w:rsidR="00550446" w:rsidRDefault="00550446" w:rsidP="00550446">
      <w:pPr>
        <w:pStyle w:val="NoSpacing"/>
        <w:numPr>
          <w:ilvl w:val="0"/>
          <w:numId w:val="6"/>
        </w:numPr>
        <w:ind w:left="342" w:hanging="342"/>
        <w:rPr>
          <w:sz w:val="20"/>
          <w:szCs w:val="20"/>
        </w:rPr>
      </w:pPr>
      <w:r w:rsidRPr="00550446">
        <w:rPr>
          <w:sz w:val="20"/>
          <w:szCs w:val="20"/>
        </w:rPr>
        <w:t xml:space="preserve">AARN handbook </w:t>
      </w:r>
      <w:hyperlink r:id="rId14" w:history="1">
        <w:r w:rsidR="00357C1E" w:rsidRPr="00625373">
          <w:rPr>
            <w:rStyle w:val="Hyperlink"/>
            <w:sz w:val="20"/>
            <w:szCs w:val="20"/>
          </w:rPr>
          <w:t>http://www.miamialum.org/s/916/images/editor_documents/AARN/AARN%20Handbook%202008.pdf</w:t>
        </w:r>
      </w:hyperlink>
    </w:p>
    <w:p w:rsidR="00357C1E" w:rsidRPr="00550446" w:rsidRDefault="00357C1E" w:rsidP="00550446">
      <w:pPr>
        <w:pStyle w:val="NoSpacing"/>
        <w:numPr>
          <w:ilvl w:val="0"/>
          <w:numId w:val="6"/>
        </w:numPr>
        <w:ind w:left="342" w:hanging="342"/>
        <w:rPr>
          <w:sz w:val="20"/>
          <w:szCs w:val="20"/>
        </w:rPr>
      </w:pPr>
      <w:r>
        <w:rPr>
          <w:sz w:val="20"/>
          <w:szCs w:val="20"/>
        </w:rPr>
        <w:t xml:space="preserve">Office of Parents website: </w:t>
      </w:r>
      <w:r w:rsidRPr="00050395">
        <w:t>http://www.miamioh.edu/parents</w:t>
      </w:r>
    </w:p>
    <w:p w:rsidR="00EF693F" w:rsidRDefault="00F130A3" w:rsidP="00062123">
      <w:pPr>
        <w:pStyle w:val="NoSpacing"/>
        <w:numPr>
          <w:ilvl w:val="0"/>
          <w:numId w:val="6"/>
        </w:numPr>
        <w:ind w:left="342" w:hanging="342"/>
        <w:rPr>
          <w:sz w:val="20"/>
          <w:szCs w:val="20"/>
        </w:rPr>
      </w:pPr>
      <w:r w:rsidRPr="0061076D">
        <w:rPr>
          <w:sz w:val="20"/>
          <w:szCs w:val="20"/>
        </w:rPr>
        <w:t xml:space="preserve">Parent </w:t>
      </w:r>
      <w:r w:rsidR="005302B1">
        <w:rPr>
          <w:sz w:val="20"/>
          <w:szCs w:val="20"/>
        </w:rPr>
        <w:t>e-</w:t>
      </w:r>
      <w:r w:rsidRPr="0061076D">
        <w:rPr>
          <w:sz w:val="20"/>
          <w:szCs w:val="20"/>
        </w:rPr>
        <w:t>newsletters</w:t>
      </w:r>
      <w:r w:rsidR="005302B1">
        <w:rPr>
          <w:sz w:val="20"/>
          <w:szCs w:val="20"/>
        </w:rPr>
        <w:t xml:space="preserve"> &amp; </w:t>
      </w:r>
      <w:r w:rsidR="00050395">
        <w:rPr>
          <w:sz w:val="20"/>
          <w:szCs w:val="20"/>
        </w:rPr>
        <w:t xml:space="preserve">family </w:t>
      </w:r>
      <w:r w:rsidR="005302B1">
        <w:rPr>
          <w:sz w:val="20"/>
          <w:szCs w:val="20"/>
        </w:rPr>
        <w:t>handbook</w:t>
      </w:r>
      <w:r w:rsidR="00EF693F">
        <w:rPr>
          <w:sz w:val="20"/>
          <w:szCs w:val="20"/>
        </w:rPr>
        <w:t xml:space="preserve"> </w:t>
      </w:r>
    </w:p>
    <w:p w:rsidR="00F130A3" w:rsidRPr="0061076D" w:rsidRDefault="00EF693F" w:rsidP="00EF693F">
      <w:pPr>
        <w:pStyle w:val="NoSpacing"/>
        <w:numPr>
          <w:ilvl w:val="1"/>
          <w:numId w:val="6"/>
        </w:numPr>
        <w:rPr>
          <w:sz w:val="20"/>
          <w:szCs w:val="20"/>
        </w:rPr>
      </w:pPr>
      <w:r w:rsidRPr="00050395">
        <w:t>eeweemakiki (Myaamia word for "my relatives"), a monthly online newsletter for parents [https://www.miamioh.edu/parents/stay-in-touch/newsletters/</w:t>
      </w:r>
    </w:p>
    <w:p w:rsidR="00F130A3" w:rsidRDefault="002C67C2" w:rsidP="00062123">
      <w:pPr>
        <w:pStyle w:val="NoSpacing"/>
        <w:numPr>
          <w:ilvl w:val="0"/>
          <w:numId w:val="6"/>
        </w:numPr>
        <w:ind w:left="342" w:hanging="342"/>
        <w:rPr>
          <w:sz w:val="20"/>
          <w:szCs w:val="20"/>
        </w:rPr>
      </w:pPr>
      <w:r>
        <w:rPr>
          <w:sz w:val="20"/>
          <w:szCs w:val="20"/>
        </w:rPr>
        <w:t xml:space="preserve">Monthly </w:t>
      </w:r>
      <w:r w:rsidR="00F130A3" w:rsidRPr="0061076D">
        <w:rPr>
          <w:sz w:val="20"/>
          <w:szCs w:val="20"/>
        </w:rPr>
        <w:t>President newsletter</w:t>
      </w:r>
      <w:r w:rsidR="002B0F00">
        <w:rPr>
          <w:sz w:val="20"/>
          <w:szCs w:val="20"/>
        </w:rPr>
        <w:t>s</w:t>
      </w:r>
      <w:r w:rsidR="004E2DE4">
        <w:rPr>
          <w:sz w:val="20"/>
          <w:szCs w:val="20"/>
        </w:rPr>
        <w:t xml:space="preserve"> (samples from 2013-2014)</w:t>
      </w:r>
    </w:p>
    <w:p w:rsidR="002B0F00" w:rsidRDefault="002B0F00" w:rsidP="00062123">
      <w:pPr>
        <w:pStyle w:val="NoSpacing"/>
        <w:numPr>
          <w:ilvl w:val="0"/>
          <w:numId w:val="6"/>
        </w:numPr>
        <w:ind w:left="342" w:hanging="342"/>
        <w:rPr>
          <w:sz w:val="20"/>
          <w:szCs w:val="20"/>
        </w:rPr>
      </w:pPr>
      <w:r>
        <w:rPr>
          <w:sz w:val="20"/>
          <w:szCs w:val="20"/>
        </w:rPr>
        <w:t>Alumni newsletters</w:t>
      </w:r>
    </w:p>
    <w:p w:rsidR="00357C1E" w:rsidRDefault="00357C1E" w:rsidP="00062123">
      <w:pPr>
        <w:pStyle w:val="NoSpacing"/>
        <w:numPr>
          <w:ilvl w:val="0"/>
          <w:numId w:val="6"/>
        </w:numPr>
        <w:ind w:left="342" w:hanging="342"/>
        <w:rPr>
          <w:sz w:val="20"/>
          <w:szCs w:val="20"/>
        </w:rPr>
      </w:pPr>
      <w:r>
        <w:rPr>
          <w:sz w:val="20"/>
          <w:szCs w:val="20"/>
        </w:rPr>
        <w:t xml:space="preserve">University Communications &amp; Marketing Strategic Plan: </w:t>
      </w:r>
      <w:hyperlink r:id="rId15" w:history="1">
        <w:r w:rsidRPr="00EC5D4A">
          <w:rPr>
            <w:rStyle w:val="Hyperlink"/>
          </w:rPr>
          <w:t>www.MiamiOH.edu/UCM</w:t>
        </w:r>
      </w:hyperlink>
    </w:p>
    <w:p w:rsidR="005302B1" w:rsidRPr="0061076D" w:rsidRDefault="005302B1" w:rsidP="00062123">
      <w:pPr>
        <w:pStyle w:val="NoSpacing"/>
        <w:numPr>
          <w:ilvl w:val="0"/>
          <w:numId w:val="6"/>
        </w:numPr>
        <w:ind w:left="342" w:hanging="342"/>
        <w:rPr>
          <w:sz w:val="20"/>
          <w:szCs w:val="20"/>
        </w:rPr>
      </w:pPr>
      <w:r>
        <w:rPr>
          <w:sz w:val="20"/>
          <w:szCs w:val="20"/>
        </w:rPr>
        <w:t>Giving Tribute reports</w:t>
      </w:r>
    </w:p>
    <w:p w:rsidR="00F130A3" w:rsidRDefault="00F130A3" w:rsidP="00062123">
      <w:pPr>
        <w:pStyle w:val="NoSpacing"/>
        <w:numPr>
          <w:ilvl w:val="0"/>
          <w:numId w:val="6"/>
        </w:numPr>
        <w:ind w:left="342" w:hanging="342"/>
        <w:rPr>
          <w:sz w:val="20"/>
          <w:szCs w:val="20"/>
        </w:rPr>
      </w:pPr>
      <w:r w:rsidRPr="0061076D">
        <w:rPr>
          <w:sz w:val="20"/>
          <w:szCs w:val="20"/>
        </w:rPr>
        <w:t>Miamian magazine</w:t>
      </w:r>
    </w:p>
    <w:p w:rsidR="002C67C2" w:rsidRPr="00F523FF" w:rsidRDefault="002C67C2" w:rsidP="00F523FF">
      <w:pPr>
        <w:pStyle w:val="NoSpacing"/>
        <w:numPr>
          <w:ilvl w:val="0"/>
          <w:numId w:val="6"/>
        </w:numPr>
        <w:ind w:left="342" w:hanging="342"/>
        <w:rPr>
          <w:sz w:val="20"/>
          <w:szCs w:val="20"/>
        </w:rPr>
      </w:pPr>
      <w:r w:rsidRPr="00F523FF">
        <w:rPr>
          <w:sz w:val="20"/>
          <w:szCs w:val="20"/>
        </w:rPr>
        <w:t xml:space="preserve">News – </w:t>
      </w:r>
      <w:hyperlink r:id="rId16" w:history="1">
        <w:r w:rsidR="004E2DE4" w:rsidRPr="00F523FF">
          <w:rPr>
            <w:rStyle w:val="Hyperlink"/>
            <w:sz w:val="20"/>
            <w:szCs w:val="20"/>
          </w:rPr>
          <w:t>http://miamioh.edu/news/</w:t>
        </w:r>
      </w:hyperlink>
    </w:p>
    <w:p w:rsidR="004E2DE4" w:rsidRDefault="00021550" w:rsidP="00062123">
      <w:pPr>
        <w:pStyle w:val="NoSpacing"/>
        <w:numPr>
          <w:ilvl w:val="0"/>
          <w:numId w:val="6"/>
        </w:numPr>
        <w:ind w:left="342" w:hanging="342"/>
        <w:rPr>
          <w:sz w:val="20"/>
          <w:szCs w:val="20"/>
        </w:rPr>
      </w:pPr>
      <w:r>
        <w:rPr>
          <w:sz w:val="20"/>
          <w:szCs w:val="20"/>
        </w:rPr>
        <w:t xml:space="preserve">One-Stop </w:t>
      </w:r>
      <w:r w:rsidR="004E2DE4">
        <w:rPr>
          <w:sz w:val="20"/>
          <w:szCs w:val="20"/>
        </w:rPr>
        <w:t>Center Plans (Michael Kabbaz)</w:t>
      </w:r>
    </w:p>
    <w:p w:rsidR="004E2DE4" w:rsidRDefault="00971D4D" w:rsidP="00062123">
      <w:pPr>
        <w:pStyle w:val="NoSpacing"/>
        <w:numPr>
          <w:ilvl w:val="0"/>
          <w:numId w:val="6"/>
        </w:numPr>
        <w:ind w:left="342" w:hanging="342"/>
        <w:rPr>
          <w:sz w:val="20"/>
          <w:szCs w:val="20"/>
        </w:rPr>
      </w:pPr>
      <w:r>
        <w:rPr>
          <w:sz w:val="20"/>
          <w:szCs w:val="20"/>
        </w:rPr>
        <w:t>UAAC Annual Reports</w:t>
      </w:r>
    </w:p>
    <w:p w:rsidR="00971D4D" w:rsidRDefault="00971D4D" w:rsidP="00062123">
      <w:pPr>
        <w:pStyle w:val="NoSpacing"/>
        <w:numPr>
          <w:ilvl w:val="0"/>
          <w:numId w:val="6"/>
        </w:numPr>
        <w:ind w:left="342" w:hanging="342"/>
        <w:rPr>
          <w:sz w:val="20"/>
          <w:szCs w:val="20"/>
        </w:rPr>
      </w:pPr>
      <w:r>
        <w:rPr>
          <w:sz w:val="20"/>
          <w:szCs w:val="20"/>
        </w:rPr>
        <w:t>Publications and policies webpage</w:t>
      </w:r>
    </w:p>
    <w:p w:rsidR="00971D4D" w:rsidRDefault="00971D4D" w:rsidP="00062123">
      <w:pPr>
        <w:pStyle w:val="NoSpacing"/>
        <w:numPr>
          <w:ilvl w:val="0"/>
          <w:numId w:val="6"/>
        </w:numPr>
        <w:ind w:left="342" w:hanging="342"/>
        <w:rPr>
          <w:sz w:val="20"/>
          <w:szCs w:val="20"/>
        </w:rPr>
      </w:pPr>
      <w:r>
        <w:rPr>
          <w:sz w:val="20"/>
          <w:szCs w:val="20"/>
        </w:rPr>
        <w:t>Student Consumer Info--Right to Know webpage</w:t>
      </w:r>
    </w:p>
    <w:p w:rsidR="00971D4D" w:rsidRDefault="00971D4D" w:rsidP="00062123">
      <w:pPr>
        <w:pStyle w:val="NoSpacing"/>
        <w:numPr>
          <w:ilvl w:val="0"/>
          <w:numId w:val="6"/>
        </w:numPr>
        <w:ind w:left="342" w:hanging="342"/>
        <w:rPr>
          <w:sz w:val="20"/>
          <w:szCs w:val="20"/>
        </w:rPr>
      </w:pPr>
      <w:r>
        <w:rPr>
          <w:sz w:val="20"/>
          <w:szCs w:val="20"/>
        </w:rPr>
        <w:t>OIR website</w:t>
      </w:r>
    </w:p>
    <w:p w:rsidR="00971D4D" w:rsidRDefault="00971D4D" w:rsidP="00062123">
      <w:pPr>
        <w:pStyle w:val="NoSpacing"/>
        <w:numPr>
          <w:ilvl w:val="0"/>
          <w:numId w:val="6"/>
        </w:numPr>
        <w:ind w:left="342" w:hanging="342"/>
        <w:rPr>
          <w:sz w:val="20"/>
          <w:szCs w:val="20"/>
        </w:rPr>
      </w:pPr>
      <w:r>
        <w:rPr>
          <w:sz w:val="20"/>
          <w:szCs w:val="20"/>
        </w:rPr>
        <w:t>New Student Programs website</w:t>
      </w:r>
    </w:p>
    <w:p w:rsidR="00971D4D" w:rsidRDefault="00971D4D" w:rsidP="00062123">
      <w:pPr>
        <w:pStyle w:val="NoSpacing"/>
        <w:numPr>
          <w:ilvl w:val="0"/>
          <w:numId w:val="6"/>
        </w:numPr>
        <w:ind w:left="342" w:hanging="342"/>
        <w:rPr>
          <w:sz w:val="20"/>
          <w:szCs w:val="20"/>
        </w:rPr>
      </w:pPr>
      <w:r>
        <w:rPr>
          <w:sz w:val="20"/>
          <w:szCs w:val="20"/>
        </w:rPr>
        <w:t>Admission website</w:t>
      </w:r>
    </w:p>
    <w:p w:rsidR="00971D4D" w:rsidRPr="00F130A3" w:rsidRDefault="00971D4D" w:rsidP="00062123">
      <w:pPr>
        <w:pStyle w:val="NoSpacing"/>
        <w:numPr>
          <w:ilvl w:val="0"/>
          <w:numId w:val="6"/>
        </w:numPr>
        <w:ind w:left="342" w:hanging="342"/>
        <w:rPr>
          <w:sz w:val="20"/>
          <w:szCs w:val="20"/>
        </w:rPr>
      </w:pPr>
      <w:r>
        <w:rPr>
          <w:sz w:val="20"/>
          <w:szCs w:val="20"/>
        </w:rPr>
        <w:t>Web policy for updating sites every six months</w:t>
      </w:r>
    </w:p>
    <w:p w:rsidR="00B34551" w:rsidRDefault="00B34551">
      <w:pPr>
        <w:rPr>
          <w:b/>
          <w:bCs/>
          <w:spacing w:val="5"/>
          <w:sz w:val="24"/>
          <w:szCs w:val="24"/>
        </w:rPr>
      </w:pPr>
      <w:r>
        <w:br w:type="page"/>
      </w:r>
    </w:p>
    <w:p w:rsidR="00634871" w:rsidRPr="00E360AE" w:rsidRDefault="00634871" w:rsidP="00634871">
      <w:pPr>
        <w:pStyle w:val="Heading4"/>
        <w:ind w:left="720" w:hanging="720"/>
      </w:pPr>
      <w:r>
        <w:lastRenderedPageBreak/>
        <w:t xml:space="preserve">2.C.     </w:t>
      </w:r>
      <w:r w:rsidRPr="00C345E6">
        <w:t>The governing board of the institution is sufficiently autonomous to make decisions in the best interest of the institution and to assure its integrity</w:t>
      </w:r>
      <w:r w:rsidRPr="00E360AE">
        <w:t>.</w:t>
      </w:r>
    </w:p>
    <w:p w:rsidR="00634871" w:rsidRPr="00634871" w:rsidRDefault="00AF6CF8" w:rsidP="00634871">
      <w:pPr>
        <w:pStyle w:val="Heading5"/>
        <w:ind w:left="720" w:hanging="720"/>
        <w:rPr>
          <w:sz w:val="20"/>
          <w:szCs w:val="20"/>
        </w:rPr>
      </w:pPr>
      <w:r>
        <w:rPr>
          <w:sz w:val="20"/>
          <w:szCs w:val="20"/>
        </w:rPr>
        <w:t>2.C.1.</w:t>
      </w:r>
      <w:r>
        <w:rPr>
          <w:sz w:val="20"/>
          <w:szCs w:val="20"/>
        </w:rPr>
        <w:tab/>
      </w:r>
      <w:r w:rsidR="00634871" w:rsidRPr="00634871">
        <w:rPr>
          <w:sz w:val="20"/>
          <w:szCs w:val="20"/>
        </w:rPr>
        <w:t xml:space="preserve">The governing board’s deliberations reflect priorities to preserve and enhance the institution. </w:t>
      </w:r>
    </w:p>
    <w:p w:rsidR="00634871" w:rsidRPr="00634871" w:rsidRDefault="00634871" w:rsidP="00634871">
      <w:pPr>
        <w:pStyle w:val="Heading5"/>
        <w:ind w:left="720" w:hanging="720"/>
        <w:rPr>
          <w:sz w:val="20"/>
          <w:szCs w:val="20"/>
        </w:rPr>
      </w:pPr>
      <w:r w:rsidRPr="00634871">
        <w:rPr>
          <w:sz w:val="20"/>
          <w:szCs w:val="20"/>
        </w:rPr>
        <w:t>2.C.2.      The governing board reviews and considers the reasonable and relevant interests of the institution’s internal and external constituencies during its decision-making deliberations.</w:t>
      </w:r>
    </w:p>
    <w:p w:rsidR="00634871" w:rsidRPr="00634871" w:rsidRDefault="00634871" w:rsidP="00634871">
      <w:pPr>
        <w:pStyle w:val="Heading5"/>
        <w:ind w:left="720" w:hanging="720"/>
        <w:rPr>
          <w:sz w:val="20"/>
          <w:szCs w:val="20"/>
        </w:rPr>
      </w:pPr>
      <w:r w:rsidRPr="00634871">
        <w:rPr>
          <w:sz w:val="20"/>
          <w:szCs w:val="20"/>
        </w:rPr>
        <w:t xml:space="preserve">2.C.3.      The governing board preserves its independence from undue influence on the part of donors, elected officials, ownership interests, or other external parties when such influence would not be in the best interest of the institution. </w:t>
      </w:r>
    </w:p>
    <w:p w:rsidR="00F130A3" w:rsidRPr="00634871" w:rsidRDefault="00634871" w:rsidP="00634871">
      <w:pPr>
        <w:pStyle w:val="Heading5"/>
        <w:ind w:left="720" w:hanging="720"/>
        <w:rPr>
          <w:sz w:val="20"/>
          <w:szCs w:val="20"/>
        </w:rPr>
      </w:pPr>
      <w:r w:rsidRPr="00634871">
        <w:rPr>
          <w:sz w:val="20"/>
          <w:szCs w:val="20"/>
        </w:rPr>
        <w:t>2.C.4.      The governing board delegates day-to-day management of the institution to the administration and expects the faculty to oversee academic matters.</w:t>
      </w:r>
    </w:p>
    <w:p w:rsidR="00F130A3" w:rsidRDefault="00634871" w:rsidP="00634871">
      <w:pPr>
        <w:pStyle w:val="Heading2"/>
      </w:pPr>
      <w:r>
        <w:t>Narrative</w:t>
      </w:r>
    </w:p>
    <w:p w:rsidR="00734C15" w:rsidRDefault="00734C15" w:rsidP="00734C15">
      <w:r>
        <w:t xml:space="preserve">The </w:t>
      </w:r>
      <w:r w:rsidR="00336CF3">
        <w:t xml:space="preserve">members of the </w:t>
      </w:r>
      <w:r>
        <w:t xml:space="preserve">Board of Trustees of Miami University are appointed by the Governor of the State of Ohio with the consent of the </w:t>
      </w:r>
      <w:r w:rsidR="00F523FF">
        <w:t xml:space="preserve">Ohio </w:t>
      </w:r>
      <w:r>
        <w:t>Senate.</w:t>
      </w:r>
      <w:r w:rsidR="00E40BB6">
        <w:t xml:space="preserve"> The b</w:t>
      </w:r>
      <w:r w:rsidR="00336CF3">
        <w:t>oard</w:t>
      </w:r>
      <w:r>
        <w:t xml:space="preserve"> consists of nine voting members and two students who are non-voting members.  The voting members’ term of office is nine years, while the student members’ term is two years, with the seats being vacated on alternating years.</w:t>
      </w:r>
      <w:r w:rsidR="005F0876">
        <w:t xml:space="preserve"> </w:t>
      </w:r>
      <w:r w:rsidR="00E40BB6">
        <w:t>A maximum of six national t</w:t>
      </w:r>
      <w:r w:rsidR="00203779">
        <w:t>rustee members, who are non-compensated advisors to the Board of Tru</w:t>
      </w:r>
      <w:r w:rsidR="00E40BB6">
        <w:t>stees, may be appointed by the b</w:t>
      </w:r>
      <w:r w:rsidR="00203779">
        <w:t>oard for a period of three years</w:t>
      </w:r>
      <w:r w:rsidR="00117E4A">
        <w:t>, with eligibility for one reappointment, making six years the maximum term of service</w:t>
      </w:r>
      <w:r w:rsidR="00203779">
        <w:t xml:space="preserve">.  </w:t>
      </w:r>
      <w:r w:rsidR="00E40BB6">
        <w:t>National t</w:t>
      </w:r>
      <w:r w:rsidR="002A3FC4" w:rsidRPr="00F523FF">
        <w:t xml:space="preserve">rustees may chair and serve </w:t>
      </w:r>
      <w:r w:rsidR="00580F9A">
        <w:t xml:space="preserve">as voting members </w:t>
      </w:r>
      <w:r w:rsidR="002A3FC4" w:rsidRPr="00F523FF">
        <w:t xml:space="preserve">on </w:t>
      </w:r>
      <w:r w:rsidR="00580F9A">
        <w:t xml:space="preserve">the board’s advisory </w:t>
      </w:r>
      <w:r w:rsidR="002A3FC4" w:rsidRPr="00F523FF">
        <w:t>committees. They have voice but may not vote at board meetings.</w:t>
      </w:r>
      <w:r w:rsidR="00F523FF" w:rsidRPr="00F523FF">
        <w:t xml:space="preserve"> </w:t>
      </w:r>
      <w:r w:rsidR="00142FBA" w:rsidRPr="00F523FF">
        <w:t>They</w:t>
      </w:r>
      <w:r w:rsidR="00142FBA">
        <w:t xml:space="preserve"> are selected on the basis of the following attributes: Miami alumna/alumnus, success in chosen field or business, state or national prominence, and capacity to advocate for higher education.</w:t>
      </w:r>
      <w:r w:rsidR="000E3724">
        <w:t xml:space="preserve"> </w:t>
      </w:r>
      <w:r w:rsidR="00E40BB6">
        <w:t>The r</w:t>
      </w:r>
      <w:r w:rsidR="005F0876">
        <w:t>egulations of t</w:t>
      </w:r>
      <w:r w:rsidR="00284401">
        <w:t>he Board of Trustees articulate</w:t>
      </w:r>
      <w:r w:rsidR="005F0876">
        <w:t xml:space="preserve"> </w:t>
      </w:r>
      <w:r w:rsidR="00E40BB6">
        <w:t>b</w:t>
      </w:r>
      <w:r w:rsidR="009871E7">
        <w:t xml:space="preserve">oard policies and practices.  </w:t>
      </w:r>
    </w:p>
    <w:p w:rsidR="00BB02AF" w:rsidRDefault="009871E7" w:rsidP="00734C15">
      <w:r>
        <w:t xml:space="preserve">The Board of Trustees has the power to </w:t>
      </w:r>
      <w:r w:rsidR="002453B3">
        <w:t>“</w:t>
      </w:r>
      <w:r>
        <w:t>take all actions necessary for the successful and continuous operation of the University</w:t>
      </w:r>
      <w:r w:rsidR="002453B3">
        <w:t>.”</w:t>
      </w:r>
      <w:r w:rsidR="0097107F">
        <w:t xml:space="preserve"> This power includes conferring academic degrees and promotion and tenure and engaging in other appropriate educational and fiduciary responsibilities, including approval of new deg</w:t>
      </w:r>
      <w:r w:rsidR="00BB02AF">
        <w:t xml:space="preserve">ree programs, </w:t>
      </w:r>
      <w:r w:rsidR="0097107F">
        <w:t xml:space="preserve">oversight of the </w:t>
      </w:r>
      <w:r w:rsidR="00E40BB6">
        <w:t>policies and operations of the u</w:t>
      </w:r>
      <w:r w:rsidR="0097107F">
        <w:t>niversity</w:t>
      </w:r>
      <w:r w:rsidR="00BB02AF">
        <w:t xml:space="preserve">, </w:t>
      </w:r>
      <w:r w:rsidR="00E40BB6">
        <w:t>approving the u</w:t>
      </w:r>
      <w:r w:rsidR="00CE3AC4">
        <w:t xml:space="preserve">niversity budget, naming campus facilities, authorizing building construction, </w:t>
      </w:r>
      <w:r w:rsidR="00BB02AF">
        <w:t xml:space="preserve">and hiring and evaluating the president.  </w:t>
      </w:r>
    </w:p>
    <w:p w:rsidR="009871E7" w:rsidRDefault="00E40BB6" w:rsidP="00734C15">
      <w:r>
        <w:t>To enhance and sustain the u</w:t>
      </w:r>
      <w:r w:rsidR="00256AC5">
        <w:t>niversity, t</w:t>
      </w:r>
      <w:r>
        <w:t>he b</w:t>
      </w:r>
      <w:r w:rsidR="00861068">
        <w:t xml:space="preserve">oard </w:t>
      </w:r>
      <w:r w:rsidR="00AC2D60">
        <w:t xml:space="preserve">is </w:t>
      </w:r>
      <w:r w:rsidR="00861068">
        <w:t xml:space="preserve">actively involved in </w:t>
      </w:r>
      <w:r w:rsidR="00256AC5">
        <w:t>key</w:t>
      </w:r>
      <w:r w:rsidR="00AC2D60">
        <w:t xml:space="preserve"> strategic pr</w:t>
      </w:r>
      <w:r w:rsidR="00256AC5">
        <w:t>iorities</w:t>
      </w:r>
      <w:r w:rsidR="00AC2D60">
        <w:t xml:space="preserve">. </w:t>
      </w:r>
      <w:r w:rsidR="00E50FC0">
        <w:t>For example, i</w:t>
      </w:r>
      <w:r>
        <w:t>n 2008, the b</w:t>
      </w:r>
      <w:r w:rsidR="00DD0E3B">
        <w:t>oard offered input into and eventually adop</w:t>
      </w:r>
      <w:r w:rsidR="00182FA8">
        <w:t>ted the revised mission of the u</w:t>
      </w:r>
      <w:r w:rsidR="00DD0E3B">
        <w:t>niversity</w:t>
      </w:r>
      <w:r w:rsidR="00173428">
        <w:t>, and it approved</w:t>
      </w:r>
      <w:r>
        <w:t xml:space="preserve"> the five-year strategic g</w:t>
      </w:r>
      <w:r w:rsidR="00DD0E3B">
        <w:t>oals in 2009</w:t>
      </w:r>
      <w:r w:rsidR="00452B00">
        <w:t xml:space="preserve"> and annually received reports on progress made in meeting the goals</w:t>
      </w:r>
      <w:r w:rsidR="00DD0E3B">
        <w:t xml:space="preserve">.  </w:t>
      </w:r>
      <w:r>
        <w:t>In 2010, the b</w:t>
      </w:r>
      <w:r w:rsidR="00CD4FD8">
        <w:t xml:space="preserve">oard approved the </w:t>
      </w:r>
      <w:r w:rsidR="000B4F14">
        <w:t xml:space="preserve">recommendations of the </w:t>
      </w:r>
      <w:r w:rsidR="00CD4FD8">
        <w:t xml:space="preserve">Strategic </w:t>
      </w:r>
      <w:r w:rsidR="000B4F14">
        <w:t xml:space="preserve">Priorities Task Force </w:t>
      </w:r>
      <w:r w:rsidR="000207D7">
        <w:t xml:space="preserve">(SPTF) </w:t>
      </w:r>
      <w:r w:rsidR="004D69DF">
        <w:t>r</w:t>
      </w:r>
      <w:r w:rsidR="000B4F14">
        <w:t>eport, and</w:t>
      </w:r>
      <w:r w:rsidR="00DD0E3B">
        <w:t xml:space="preserve"> since then,</w:t>
      </w:r>
      <w:r w:rsidR="000B4F14">
        <w:t xml:space="preserve"> it </w:t>
      </w:r>
      <w:r w:rsidR="00DD0E3B">
        <w:t>has</w:t>
      </w:r>
      <w:r w:rsidR="000B4F14">
        <w:t xml:space="preserve"> reviewed </w:t>
      </w:r>
      <w:r w:rsidR="00DD0E3B">
        <w:t xml:space="preserve">and discussed annual </w:t>
      </w:r>
      <w:r w:rsidR="004D69DF">
        <w:t>updates prepared by u</w:t>
      </w:r>
      <w:r w:rsidR="000B4F14">
        <w:t xml:space="preserve">niversity administrators on each of the </w:t>
      </w:r>
      <w:r w:rsidR="000207D7">
        <w:t>36</w:t>
      </w:r>
      <w:r w:rsidR="00CF7B58">
        <w:t xml:space="preserve"> </w:t>
      </w:r>
      <w:r w:rsidR="000B4F14">
        <w:t>reco</w:t>
      </w:r>
      <w:r w:rsidR="00DD0E3B">
        <w:t>mmendations</w:t>
      </w:r>
      <w:r w:rsidR="000B4F14">
        <w:t xml:space="preserve">.  </w:t>
      </w:r>
      <w:r w:rsidR="00CB5EF3">
        <w:t>In 2013-2014</w:t>
      </w:r>
      <w:r w:rsidR="00CD4FD8">
        <w:t xml:space="preserve">, </w:t>
      </w:r>
      <w:r w:rsidR="004D69DF">
        <w:t xml:space="preserve">board members participated in </w:t>
      </w:r>
      <w:r w:rsidR="00452B00">
        <w:t xml:space="preserve">retreats </w:t>
      </w:r>
      <w:r w:rsidR="00CB5EF3">
        <w:t xml:space="preserve">(along with faculty, students, and staff) </w:t>
      </w:r>
      <w:r w:rsidR="00452B00">
        <w:t xml:space="preserve">focused on </w:t>
      </w:r>
      <w:r w:rsidR="00CD4FD8">
        <w:t>crafting o</w:t>
      </w:r>
      <w:r w:rsidR="00CB5EF3">
        <w:t>f the Miami 2020 Plan and redesigning</w:t>
      </w:r>
      <w:r w:rsidR="00CD4FD8">
        <w:t xml:space="preserve"> th</w:t>
      </w:r>
      <w:r w:rsidR="00CB5EF3">
        <w:t xml:space="preserve">e </w:t>
      </w:r>
      <w:r w:rsidR="00CD4FD8">
        <w:t>Global Miami Plan.</w:t>
      </w:r>
    </w:p>
    <w:p w:rsidR="00336CF3" w:rsidRDefault="004D69DF" w:rsidP="00734C15">
      <w:r>
        <w:t>The b</w:t>
      </w:r>
      <w:r w:rsidR="00336CF3">
        <w:t>oard fulfills i</w:t>
      </w:r>
      <w:r w:rsidR="00D12EAC">
        <w:t>ts responsibilities through an organized standing committee structure, with each committee purs</w:t>
      </w:r>
      <w:r w:rsidR="00452973">
        <w:t>uing defined goals and duties:</w:t>
      </w:r>
    </w:p>
    <w:p w:rsidR="00264AC7" w:rsidRDefault="006D60C9" w:rsidP="000945E2">
      <w:pPr>
        <w:pStyle w:val="ListParagraph"/>
        <w:numPr>
          <w:ilvl w:val="0"/>
          <w:numId w:val="37"/>
        </w:numPr>
      </w:pPr>
      <w:r w:rsidRPr="00304F27">
        <w:rPr>
          <w:b/>
        </w:rPr>
        <w:t>Finance and Audit Committee</w:t>
      </w:r>
      <w:r>
        <w:t xml:space="preserve"> </w:t>
      </w:r>
      <w:r w:rsidR="00264AC7">
        <w:t>provides overs</w:t>
      </w:r>
      <w:r w:rsidR="004D69DF">
        <w:t>ight over the u</w:t>
      </w:r>
      <w:r w:rsidR="00264AC7">
        <w:t xml:space="preserve">niversity’s long-term financial plans; the financial reporting, internal controls and the </w:t>
      </w:r>
      <w:r w:rsidR="004D69DF">
        <w:t>independent audit; the general u</w:t>
      </w:r>
      <w:r w:rsidR="00264AC7">
        <w:t xml:space="preserve">niversity budget; capital expenditures for facilities and property; investment policies and results; internal audit activities; processes </w:t>
      </w:r>
      <w:r w:rsidR="004D69DF">
        <w:t>for monitoring compliance with u</w:t>
      </w:r>
      <w:r w:rsidR="00264AC7">
        <w:t>niversity policies and s</w:t>
      </w:r>
      <w:r w:rsidR="004D69DF">
        <w:t>tate and federal laws; and the u</w:t>
      </w:r>
      <w:r w:rsidR="00264AC7">
        <w:t>niversity’s risk assessment process.</w:t>
      </w:r>
      <w:r w:rsidR="004D69DF">
        <w:t xml:space="preserve">  The vice president for finance and b</w:t>
      </w:r>
      <w:r w:rsidR="00C97202">
        <w:t>u</w:t>
      </w:r>
      <w:r w:rsidR="004D69DF">
        <w:t>siness s</w:t>
      </w:r>
      <w:r w:rsidR="000207D7">
        <w:t xml:space="preserve">ervices </w:t>
      </w:r>
      <w:r w:rsidR="00C97202">
        <w:t>participate</w:t>
      </w:r>
      <w:r w:rsidR="000207D7">
        <w:t>s</w:t>
      </w:r>
      <w:r w:rsidR="00C97202">
        <w:t xml:space="preserve"> in the meetings; and additional faculty and staff members are often called upon to present specific reports.</w:t>
      </w:r>
    </w:p>
    <w:p w:rsidR="000541BD" w:rsidRDefault="000541BD" w:rsidP="000541BD">
      <w:pPr>
        <w:pStyle w:val="ListParagraph"/>
      </w:pPr>
    </w:p>
    <w:p w:rsidR="00452973" w:rsidRDefault="006D60C9" w:rsidP="000945E2">
      <w:pPr>
        <w:pStyle w:val="ListParagraph"/>
        <w:numPr>
          <w:ilvl w:val="0"/>
          <w:numId w:val="37"/>
        </w:numPr>
      </w:pPr>
      <w:r w:rsidRPr="000541BD">
        <w:rPr>
          <w:b/>
        </w:rPr>
        <w:t>Academic and Student Affairs Committee</w:t>
      </w:r>
      <w:r w:rsidR="00CF7B58">
        <w:t xml:space="preserve"> </w:t>
      </w:r>
      <w:r w:rsidR="004D69DF">
        <w:t>provides oversight over the u</w:t>
      </w:r>
      <w:r w:rsidR="004B2786">
        <w:t>niversity’s long-term academic plans; the strategic enrollment plans; the retention and degree completion plans; research a</w:t>
      </w:r>
      <w:r w:rsidR="004D69DF">
        <w:t xml:space="preserve">ctivities; the </w:t>
      </w:r>
      <w:r w:rsidR="004D69DF">
        <w:lastRenderedPageBreak/>
        <w:t>u</w:t>
      </w:r>
      <w:r w:rsidR="004B2786">
        <w:t xml:space="preserve">niversity’s role in the University System of Ohio; student life; and campus safety and student life risk management.  </w:t>
      </w:r>
      <w:r w:rsidR="004D69DF">
        <w:t>The vice president for student a</w:t>
      </w:r>
      <w:r w:rsidR="000541BD">
        <w:t>ffairs</w:t>
      </w:r>
      <w:r w:rsidR="004D69DF">
        <w:t>, vice president for enrollment management &amp; student s</w:t>
      </w:r>
      <w:r w:rsidR="006A531C">
        <w:t>uccess,</w:t>
      </w:r>
      <w:r w:rsidR="004D69DF">
        <w:t xml:space="preserve"> and p</w:t>
      </w:r>
      <w:r w:rsidR="000541BD">
        <w:t>rovost participate in meetings, and additional faculty and staff members are regularly asked to present reports on specific topics.</w:t>
      </w:r>
    </w:p>
    <w:p w:rsidR="0054384D" w:rsidRDefault="0054384D" w:rsidP="0054384D">
      <w:pPr>
        <w:pStyle w:val="ListParagraph"/>
      </w:pPr>
    </w:p>
    <w:p w:rsidR="0054384D" w:rsidRDefault="0054384D" w:rsidP="000945E2">
      <w:pPr>
        <w:pStyle w:val="ListParagraph"/>
        <w:numPr>
          <w:ilvl w:val="0"/>
          <w:numId w:val="37"/>
        </w:numPr>
      </w:pPr>
      <w:r w:rsidRPr="0054384D">
        <w:rPr>
          <w:b/>
        </w:rPr>
        <w:t>Committee for Naming of Campus Facilities</w:t>
      </w:r>
      <w:r w:rsidR="004D69DF">
        <w:t xml:space="preserve"> which advises the b</w:t>
      </w:r>
      <w:r>
        <w:t xml:space="preserve">oard on recommendations for the naming of campus facilities and is chaired </w:t>
      </w:r>
      <w:r w:rsidR="004D69DF">
        <w:t>by the v</w:t>
      </w:r>
      <w:r>
        <w:t xml:space="preserve">ice </w:t>
      </w:r>
      <w:r w:rsidR="004D69DF">
        <w:t>president for university a</w:t>
      </w:r>
      <w:r>
        <w:t>dvancement.</w:t>
      </w:r>
    </w:p>
    <w:p w:rsidR="000541BD" w:rsidRDefault="00077274" w:rsidP="00734C15">
      <w:r>
        <w:t>At least one mo</w:t>
      </w:r>
      <w:r w:rsidR="004D69DF">
        <w:t>nth prior to each meeting, the secretary to the b</w:t>
      </w:r>
      <w:r>
        <w:t>oard asks senior leaders for suggestions for agenda items w</w:t>
      </w:r>
      <w:r w:rsidR="00D47F35">
        <w:t>hich are then forwarded to the board c</w:t>
      </w:r>
      <w:r>
        <w:t>hair for revi</w:t>
      </w:r>
      <w:r w:rsidR="00D47F35">
        <w:t>sions and approval.  Notice of b</w:t>
      </w:r>
      <w:r>
        <w:t>oard meetings</w:t>
      </w:r>
      <w:r w:rsidR="0031703C">
        <w:t xml:space="preserve">, agendas and minutes are posted </w:t>
      </w:r>
      <w:r w:rsidR="00D47F35">
        <w:t>on the u</w:t>
      </w:r>
      <w:r>
        <w:t>niversity website</w:t>
      </w:r>
      <w:r w:rsidR="0031703C">
        <w:t xml:space="preserve">.  </w:t>
      </w:r>
      <w:r w:rsidR="00D47F35">
        <w:t>The board c</w:t>
      </w:r>
      <w:r w:rsidR="00624FF6">
        <w:t>hair presides at all meetings and appoints committee</w:t>
      </w:r>
      <w:r w:rsidR="008F5EC9">
        <w:t>s and, other than executi</w:t>
      </w:r>
      <w:r w:rsidR="00D47F35">
        <w:t>ve sessions of the b</w:t>
      </w:r>
      <w:r w:rsidR="00E66836">
        <w:t xml:space="preserve">oard, </w:t>
      </w:r>
      <w:r w:rsidR="008F5EC9">
        <w:t xml:space="preserve">meetings are open to the </w:t>
      </w:r>
      <w:r w:rsidR="00C4766A">
        <w:t xml:space="preserve">Miami University community and the general </w:t>
      </w:r>
      <w:r w:rsidR="008F5EC9">
        <w:t>public.</w:t>
      </w:r>
    </w:p>
    <w:p w:rsidR="008E2803" w:rsidRPr="00E66836" w:rsidRDefault="0031703C" w:rsidP="008E2803">
      <w:r>
        <w:t xml:space="preserve">Although </w:t>
      </w:r>
      <w:r w:rsidR="00D47F35">
        <w:t>the b</w:t>
      </w:r>
      <w:r w:rsidRPr="00E66836">
        <w:t>oard strives to be transparent and inclusive in its deci</w:t>
      </w:r>
      <w:r w:rsidR="00D47F35">
        <w:t>sion-making deliberations, the regulations state that the b</w:t>
      </w:r>
      <w:r w:rsidRPr="00E66836">
        <w:t xml:space="preserve">oard “reserves the </w:t>
      </w:r>
      <w:r w:rsidR="002D57C1" w:rsidRPr="00E66836">
        <w:t>right of final approva</w:t>
      </w:r>
      <w:r w:rsidR="00D105D7" w:rsidRPr="00E66836">
        <w:t>l</w:t>
      </w:r>
      <w:r w:rsidR="008F5EC9" w:rsidRPr="00E66836">
        <w:t>” and must keep in mind “its dual responsibility to represent the citizens of the State of Ohio and to promote the best interest of the academic community</w:t>
      </w:r>
      <w:r w:rsidR="008E2803" w:rsidRPr="00E66836">
        <w:t>.</w:t>
      </w:r>
      <w:r w:rsidR="00D47F35">
        <w:t>”</w:t>
      </w:r>
      <w:r w:rsidR="008E2803" w:rsidRPr="00E66836">
        <w:t xml:space="preserve">  It ensures integrity and in</w:t>
      </w:r>
      <w:r w:rsidR="00E66836">
        <w:t>dependence from undue influence</w:t>
      </w:r>
      <w:r w:rsidR="008E2803" w:rsidRPr="00E66836">
        <w:t xml:space="preserve"> by conducting its business affairs in public meetings in compliance with Ohio’s Open Meetings Act and</w:t>
      </w:r>
      <w:r w:rsidR="00693B15">
        <w:t xml:space="preserve"> by</w:t>
      </w:r>
      <w:r w:rsidR="008E2803" w:rsidRPr="00E66836">
        <w:t xml:space="preserve"> the adoption of a program of purchasing independence utilizing requests for proposals and competitive bidding for the purchases of all goods and services ove</w:t>
      </w:r>
      <w:r w:rsidR="00D47F35">
        <w:t>r $50,000 unless waived by the vice president for finance and business services.  The b</w:t>
      </w:r>
      <w:r w:rsidR="008E2803" w:rsidRPr="00E66836">
        <w:t>oard does not generally approve the purchase of any goods and services unless related to construction projects. The Office of General Counsel serves as t</w:t>
      </w:r>
      <w:r w:rsidR="00D47F35">
        <w:t>he board’s chief ethics o</w:t>
      </w:r>
      <w:r w:rsidR="00E66836">
        <w:t>fficer</w:t>
      </w:r>
      <w:r w:rsidR="00693B15">
        <w:t xml:space="preserve">, </w:t>
      </w:r>
      <w:r w:rsidR="008E2803" w:rsidRPr="00E66836">
        <w:t>administers an annual ethics survey</w:t>
      </w:r>
      <w:r w:rsidR="00693B15">
        <w:t>,</w:t>
      </w:r>
      <w:r w:rsidR="008E2803" w:rsidRPr="00E66836">
        <w:t xml:space="preserve"> and conducts an annual conflicts interview with each trustee.</w:t>
      </w:r>
    </w:p>
    <w:p w:rsidR="00875A97" w:rsidRDefault="00693B15" w:rsidP="00875A97">
      <w:r>
        <w:t>According to its r</w:t>
      </w:r>
      <w:r w:rsidR="00BA2EEE">
        <w:t>egulations, t</w:t>
      </w:r>
      <w:r>
        <w:t>he board appoints the p</w:t>
      </w:r>
      <w:r w:rsidR="00205E40">
        <w:t>resident and authorizes him or her to serve as the chief</w:t>
      </w:r>
      <w:r>
        <w:t xml:space="preserve"> administrative officer of the u</w:t>
      </w:r>
      <w:r w:rsidR="00205E40">
        <w:t>niversity, including the ab</w:t>
      </w:r>
      <w:r>
        <w:t>ility to sign on behalf of the u</w:t>
      </w:r>
      <w:r w:rsidR="00205E40">
        <w:t>niversity all necessary documents pertaining to the</w:t>
      </w:r>
      <w:r>
        <w:t xml:space="preserve"> operating needs of the u</w:t>
      </w:r>
      <w:r w:rsidR="00205E40">
        <w:t>niversity</w:t>
      </w:r>
      <w:r w:rsidR="00BA2EEE">
        <w:t xml:space="preserve">.  </w:t>
      </w:r>
      <w:r w:rsidR="00875A97">
        <w:t>In turn, an execu</w:t>
      </w:r>
      <w:r>
        <w:t>tive cabinet that includes the provost, vice president for student a</w:t>
      </w:r>
      <w:r w:rsidR="00875A97">
        <w:t xml:space="preserve">ffairs, </w:t>
      </w:r>
      <w:r>
        <w:t>vice president for finance and business s</w:t>
      </w:r>
      <w:r w:rsidR="000207D7">
        <w:t xml:space="preserve">ervices, </w:t>
      </w:r>
      <w:r>
        <w:t>vice president for university advancement, vice president for information t</w:t>
      </w:r>
      <w:r w:rsidR="00875A97">
        <w:t xml:space="preserve">echnology, </w:t>
      </w:r>
      <w:r>
        <w:t>vice president for enrollment management and student success, associate vice president for institutional d</w:t>
      </w:r>
      <w:r w:rsidR="00442CBF">
        <w:t xml:space="preserve">iversity, </w:t>
      </w:r>
      <w:r>
        <w:t>associate vice president for university communications &amp; marketing, general c</w:t>
      </w:r>
      <w:r w:rsidR="002A3472">
        <w:t xml:space="preserve">ounsel, </w:t>
      </w:r>
      <w:r w:rsidR="00580F9A">
        <w:t xml:space="preserve">athletic director, assistant to the president, </w:t>
      </w:r>
      <w:r w:rsidR="00442CBF">
        <w:t xml:space="preserve">and </w:t>
      </w:r>
      <w:r>
        <w:t>secretary to the b</w:t>
      </w:r>
      <w:r w:rsidR="002A3472">
        <w:t>oard</w:t>
      </w:r>
      <w:r w:rsidR="00F17353">
        <w:t xml:space="preserve"> reports to the p</w:t>
      </w:r>
      <w:r w:rsidR="00875A97">
        <w:t xml:space="preserve">resident.  </w:t>
      </w:r>
    </w:p>
    <w:p w:rsidR="00634871" w:rsidRDefault="00F17353" w:rsidP="00124690">
      <w:r>
        <w:t>The b</w:t>
      </w:r>
      <w:r w:rsidR="002A3472" w:rsidRPr="00124690">
        <w:t xml:space="preserve">oard also delegates to University Senate responsibility for curriculum, programs, and course offerings, and advisory responsibility on all matters related to </w:t>
      </w:r>
      <w:r>
        <w:t>the u</w:t>
      </w:r>
      <w:r w:rsidR="005A4B81" w:rsidRPr="00124690">
        <w:t>niversity.  University Senate includes students, faculty, staff</w:t>
      </w:r>
      <w:r>
        <w:t>,</w:t>
      </w:r>
      <w:r w:rsidR="005A4B81" w:rsidRPr="00124690">
        <w:t xml:space="preserve"> and administrators and is guided by an executive committee</w:t>
      </w:r>
      <w:r w:rsidR="00124690" w:rsidRPr="00124690">
        <w:t xml:space="preserve"> that includes</w:t>
      </w:r>
      <w:r w:rsidR="005A4B81" w:rsidRPr="00124690">
        <w:t xml:space="preserve"> </w:t>
      </w:r>
      <w:r>
        <w:t>the p</w:t>
      </w:r>
      <w:r w:rsidR="00124690" w:rsidRPr="00124690">
        <w:t>rovost; th</w:t>
      </w:r>
      <w:r>
        <w:t>ree elected faculty members of s</w:t>
      </w:r>
      <w:r w:rsidR="00124690" w:rsidRPr="00124690">
        <w:t>enate; one un</w:t>
      </w:r>
      <w:r>
        <w:t>dergraduate student who is the p</w:t>
      </w:r>
      <w:r w:rsidR="00124690" w:rsidRPr="00124690">
        <w:t>resident of Associated Student Government;</w:t>
      </w:r>
      <w:r>
        <w:t xml:space="preserve"> and one graduate student. The s</w:t>
      </w:r>
      <w:r w:rsidR="00124690" w:rsidRPr="00124690">
        <w:t>ecre</w:t>
      </w:r>
      <w:r w:rsidR="000207D7">
        <w:t>tary of University Senate </w:t>
      </w:r>
      <w:r w:rsidR="00124690" w:rsidRPr="00124690">
        <w:t>serve</w:t>
      </w:r>
      <w:r w:rsidR="000207D7">
        <w:t>s</w:t>
      </w:r>
      <w:r w:rsidR="00124690" w:rsidRPr="00124690">
        <w:t xml:space="preserve"> as an ex off</w:t>
      </w:r>
      <w:r>
        <w:t>icio, non-voting member of the executive c</w:t>
      </w:r>
      <w:r w:rsidR="00124690" w:rsidRPr="00124690">
        <w:t>ommittee. </w:t>
      </w:r>
    </w:p>
    <w:p w:rsidR="00900523" w:rsidRDefault="004B54CE" w:rsidP="004B54CE">
      <w:r>
        <w:t>As Miami moves into the next decade, it will be important to continue working on attain</w:t>
      </w:r>
      <w:r w:rsidR="00F17353">
        <w:t>ing the appropriate balance of board of t</w:t>
      </w:r>
      <w:r w:rsidR="001B26B5">
        <w:t xml:space="preserve">rustee input and </w:t>
      </w:r>
      <w:r w:rsidR="00634871" w:rsidRPr="008A3E33">
        <w:t>oversight and faculty</w:t>
      </w:r>
      <w:r w:rsidR="00900523">
        <w:t xml:space="preserve"> and staff input on key decisions and strategic priorities.</w:t>
      </w:r>
    </w:p>
    <w:p w:rsidR="00634871" w:rsidRDefault="00634871" w:rsidP="00634871">
      <w:pPr>
        <w:pStyle w:val="Heading2"/>
      </w:pPr>
      <w:r>
        <w:t>Sources</w:t>
      </w:r>
    </w:p>
    <w:p w:rsidR="00634871" w:rsidRPr="0061076D" w:rsidRDefault="00634871" w:rsidP="00072109">
      <w:pPr>
        <w:pStyle w:val="NoSpacing"/>
        <w:numPr>
          <w:ilvl w:val="0"/>
          <w:numId w:val="7"/>
        </w:numPr>
        <w:tabs>
          <w:tab w:val="left" w:pos="342"/>
        </w:tabs>
        <w:ind w:left="342" w:hanging="342"/>
        <w:rPr>
          <w:sz w:val="20"/>
          <w:szCs w:val="20"/>
        </w:rPr>
      </w:pPr>
      <w:r w:rsidRPr="0061076D">
        <w:rPr>
          <w:sz w:val="20"/>
          <w:szCs w:val="20"/>
        </w:rPr>
        <w:t>Ohio Revised Code 3339.01 – vests control of the University in the trustees</w:t>
      </w:r>
    </w:p>
    <w:p w:rsidR="00634871" w:rsidRPr="0061076D" w:rsidRDefault="003A5E1A" w:rsidP="00072109">
      <w:pPr>
        <w:pStyle w:val="NoSpacing"/>
        <w:numPr>
          <w:ilvl w:val="0"/>
          <w:numId w:val="7"/>
        </w:numPr>
        <w:tabs>
          <w:tab w:val="left" w:pos="342"/>
        </w:tabs>
        <w:ind w:left="342" w:hanging="342"/>
        <w:rPr>
          <w:sz w:val="20"/>
          <w:szCs w:val="20"/>
        </w:rPr>
      </w:pPr>
      <w:r>
        <w:rPr>
          <w:sz w:val="20"/>
          <w:szCs w:val="20"/>
        </w:rPr>
        <w:t>Description of Board of Trustees in MUPIM</w:t>
      </w:r>
    </w:p>
    <w:p w:rsidR="00634871" w:rsidRPr="0061076D" w:rsidRDefault="00634871" w:rsidP="00072109">
      <w:pPr>
        <w:pStyle w:val="NoSpacing"/>
        <w:numPr>
          <w:ilvl w:val="0"/>
          <w:numId w:val="7"/>
        </w:numPr>
        <w:tabs>
          <w:tab w:val="left" w:pos="342"/>
        </w:tabs>
        <w:ind w:left="342" w:hanging="342"/>
        <w:rPr>
          <w:sz w:val="20"/>
          <w:szCs w:val="20"/>
        </w:rPr>
      </w:pPr>
      <w:r w:rsidRPr="0061076D">
        <w:rPr>
          <w:sz w:val="20"/>
          <w:szCs w:val="20"/>
        </w:rPr>
        <w:lastRenderedPageBreak/>
        <w:t>Board of Trustees Regulations Document [http://www.miami.muohio.edu/documents/about-miami/president/bot/BOT_Regulations.pdf]--make sure it include ethics issues, such as who can serve and conflict of interest</w:t>
      </w:r>
    </w:p>
    <w:p w:rsidR="00634871" w:rsidRPr="0061076D" w:rsidRDefault="00634871" w:rsidP="00072109">
      <w:pPr>
        <w:pStyle w:val="NoSpacing"/>
        <w:numPr>
          <w:ilvl w:val="0"/>
          <w:numId w:val="7"/>
        </w:numPr>
        <w:tabs>
          <w:tab w:val="left" w:pos="342"/>
        </w:tabs>
        <w:ind w:left="342" w:hanging="342"/>
        <w:rPr>
          <w:sz w:val="20"/>
          <w:szCs w:val="20"/>
        </w:rPr>
      </w:pPr>
      <w:r w:rsidRPr="0061076D">
        <w:rPr>
          <w:sz w:val="20"/>
          <w:szCs w:val="20"/>
        </w:rPr>
        <w:t>Board of Trustees reports and minutes [http://www.miami.muohio.edu/about-miami/office-of-the-president/bot/index.html]</w:t>
      </w:r>
    </w:p>
    <w:p w:rsidR="00634871" w:rsidRPr="0061076D" w:rsidRDefault="00900523" w:rsidP="00072109">
      <w:pPr>
        <w:pStyle w:val="NoSpacing"/>
        <w:numPr>
          <w:ilvl w:val="0"/>
          <w:numId w:val="7"/>
        </w:numPr>
        <w:tabs>
          <w:tab w:val="left" w:pos="342"/>
        </w:tabs>
        <w:ind w:left="342" w:hanging="342"/>
        <w:rPr>
          <w:sz w:val="20"/>
          <w:szCs w:val="20"/>
        </w:rPr>
      </w:pPr>
      <w:r>
        <w:rPr>
          <w:sz w:val="20"/>
          <w:szCs w:val="20"/>
        </w:rPr>
        <w:t>Enabling Act of University</w:t>
      </w:r>
      <w:r w:rsidR="004E2DE4">
        <w:rPr>
          <w:sz w:val="20"/>
          <w:szCs w:val="20"/>
        </w:rPr>
        <w:t xml:space="preserve"> Senate</w:t>
      </w:r>
    </w:p>
    <w:p w:rsidR="00634871" w:rsidRPr="0061076D" w:rsidRDefault="00634871" w:rsidP="00072109">
      <w:pPr>
        <w:pStyle w:val="NoSpacing"/>
        <w:numPr>
          <w:ilvl w:val="0"/>
          <w:numId w:val="7"/>
        </w:numPr>
        <w:tabs>
          <w:tab w:val="left" w:pos="342"/>
        </w:tabs>
        <w:ind w:left="342" w:hanging="342"/>
        <w:rPr>
          <w:sz w:val="20"/>
          <w:szCs w:val="20"/>
        </w:rPr>
      </w:pPr>
      <w:r w:rsidRPr="0061076D">
        <w:rPr>
          <w:sz w:val="20"/>
          <w:szCs w:val="20"/>
        </w:rPr>
        <w:t>Ohio’s Ethics Law (ORC Chapter 102)- Annual Ethics Disclosure</w:t>
      </w:r>
    </w:p>
    <w:p w:rsidR="00634871" w:rsidRPr="0061076D" w:rsidRDefault="00634871" w:rsidP="00634871">
      <w:pPr>
        <w:pStyle w:val="NoSpacing"/>
        <w:rPr>
          <w:sz w:val="20"/>
          <w:szCs w:val="20"/>
        </w:rPr>
      </w:pPr>
    </w:p>
    <w:p w:rsidR="00634871" w:rsidRDefault="00634871" w:rsidP="00634871"/>
    <w:p w:rsidR="00E42EF5" w:rsidRPr="00634871" w:rsidRDefault="00E42EF5" w:rsidP="00634871"/>
    <w:p w:rsidR="00634871" w:rsidRPr="00F130A3" w:rsidRDefault="00634871" w:rsidP="00F130A3">
      <w:pPr>
        <w:pStyle w:val="NoSpacing"/>
        <w:rPr>
          <w:sz w:val="20"/>
          <w:szCs w:val="20"/>
        </w:rPr>
      </w:pPr>
    </w:p>
    <w:p w:rsidR="005D78C0" w:rsidRPr="005D78C0" w:rsidRDefault="005D78C0" w:rsidP="005D78C0"/>
    <w:p w:rsidR="006A15B5" w:rsidRDefault="006A15B5">
      <w:pPr>
        <w:rPr>
          <w:smallCaps/>
          <w:spacing w:val="5"/>
          <w:sz w:val="36"/>
          <w:szCs w:val="36"/>
        </w:rPr>
      </w:pPr>
      <w:r>
        <w:br w:type="page"/>
      </w:r>
    </w:p>
    <w:p w:rsidR="00B40F60" w:rsidRDefault="00B40F60" w:rsidP="00B40F60">
      <w:pPr>
        <w:pStyle w:val="Heading4"/>
        <w:ind w:left="720" w:hanging="720"/>
      </w:pPr>
      <w:r>
        <w:lastRenderedPageBreak/>
        <w:t xml:space="preserve">2.D. </w:t>
      </w:r>
      <w:r>
        <w:tab/>
      </w:r>
      <w:r w:rsidRPr="00C345E6">
        <w:t>The institution is committed to freedom of expression and the pursuit of truth in teaching and learning.</w:t>
      </w:r>
    </w:p>
    <w:p w:rsidR="00B40F60" w:rsidRDefault="00B40F60" w:rsidP="00B40F60">
      <w:pPr>
        <w:pStyle w:val="Heading2"/>
      </w:pPr>
      <w:r>
        <w:t>Narrative</w:t>
      </w:r>
    </w:p>
    <w:p w:rsidR="004464CA" w:rsidRDefault="00915327" w:rsidP="004464CA">
      <w:r>
        <w:t xml:space="preserve">Freedom of inquiry and the pursuit of knowledge are core values of Miami University.  The </w:t>
      </w:r>
      <w:r w:rsidR="00B40F60" w:rsidRPr="008A3E33">
        <w:t xml:space="preserve">mission statement </w:t>
      </w:r>
      <w:r w:rsidR="00784D67">
        <w:t xml:space="preserve">underscores the importance of engaging students in the excitement of discovery </w:t>
      </w:r>
      <w:r w:rsidR="00D90056">
        <w:t>and learning and of promoting critical thinking,</w:t>
      </w:r>
      <w:r w:rsidR="00784D67">
        <w:t xml:space="preserve"> independent thought, </w:t>
      </w:r>
      <w:r w:rsidR="00D90056">
        <w:t xml:space="preserve">and </w:t>
      </w:r>
      <w:r w:rsidR="00784D67">
        <w:t>a</w:t>
      </w:r>
      <w:r w:rsidR="00D90056">
        <w:t>n appreciation of diverse views</w:t>
      </w:r>
      <w:r>
        <w:t xml:space="preserve">, and </w:t>
      </w:r>
      <w:r w:rsidR="00F17353">
        <w:t>the p</w:t>
      </w:r>
      <w:r w:rsidR="004464CA">
        <w:t>resident frequently stresses</w:t>
      </w:r>
      <w:r>
        <w:t xml:space="preserve"> these values </w:t>
      </w:r>
      <w:r w:rsidR="004464CA">
        <w:t xml:space="preserve">in </w:t>
      </w:r>
      <w:r>
        <w:t xml:space="preserve">public addresses and statements.  </w:t>
      </w:r>
      <w:r w:rsidR="00A51C47">
        <w:t xml:space="preserve">In </w:t>
      </w:r>
      <w:r w:rsidR="00D2462C">
        <w:t>his</w:t>
      </w:r>
      <w:r w:rsidR="00BD3E88">
        <w:t xml:space="preserve"> 2006</w:t>
      </w:r>
      <w:r w:rsidR="00D2462C">
        <w:t xml:space="preserve"> inaugural address, he articulated his vis</w:t>
      </w:r>
      <w:r w:rsidR="00350D39">
        <w:t>ion for an inquiry-driven Miami</w:t>
      </w:r>
      <w:r w:rsidR="00A51C47">
        <w:t>:</w:t>
      </w:r>
    </w:p>
    <w:p w:rsidR="00A51C47" w:rsidRPr="00A51C47" w:rsidRDefault="00A51C47" w:rsidP="00D2462C">
      <w:pPr>
        <w:ind w:left="360"/>
      </w:pPr>
      <w:r w:rsidRPr="00A51C47">
        <w:t>It is a prime quality of universities that they attract people who are by their nature</w:t>
      </w:r>
      <w:r>
        <w:t xml:space="preserve"> </w:t>
      </w:r>
      <w:r w:rsidRPr="00A51C47">
        <w:t>consumed by curiosity. We hunger to understand the un</w:t>
      </w:r>
      <w:r>
        <w:t xml:space="preserve">known, to make sense of a messy </w:t>
      </w:r>
      <w:r w:rsidRPr="00A51C47">
        <w:t>world, to imagine new thoughts or artistic expressio</w:t>
      </w:r>
      <w:r>
        <w:t xml:space="preserve">n that challenge what or how we </w:t>
      </w:r>
      <w:r w:rsidRPr="00A51C47">
        <w:t xml:space="preserve">know. </w:t>
      </w:r>
      <w:r w:rsidR="00350D39">
        <w:t xml:space="preserve">. . . </w:t>
      </w:r>
      <w:r w:rsidRPr="00A51C47">
        <w:t>Cu</w:t>
      </w:r>
      <w:r>
        <w:t xml:space="preserve">riosity provides the spark, but </w:t>
      </w:r>
      <w:r w:rsidRPr="00A51C47">
        <w:t>disciplined reasoning and methodological rigor (both quantit</w:t>
      </w:r>
      <w:r>
        <w:t xml:space="preserve">atively and qualitatively), the </w:t>
      </w:r>
      <w:r w:rsidRPr="00A51C47">
        <w:t>essence of scholarship, provide the means to answer th</w:t>
      </w:r>
      <w:r w:rsidR="00D2462C">
        <w:t xml:space="preserve">e questions posed by curiosity. </w:t>
      </w:r>
      <w:r w:rsidRPr="00A51C47">
        <w:t>That is why it is so important that we have a research</w:t>
      </w:r>
      <w:r w:rsidR="00D2462C">
        <w:t xml:space="preserve"> active faculty who continue to </w:t>
      </w:r>
      <w:r w:rsidRPr="00A51C47">
        <w:t>develop and use their research capabilities to answer questions that challenge us.</w:t>
      </w:r>
      <w:r w:rsidR="00D2462C">
        <w:t xml:space="preserve">  . . . </w:t>
      </w:r>
      <w:r w:rsidRPr="00A51C47">
        <w:t>Unfortunately, throughout most of higher ed</w:t>
      </w:r>
      <w:r w:rsidR="00D2462C">
        <w:t xml:space="preserve">ucation, the common approach to </w:t>
      </w:r>
      <w:r w:rsidRPr="00A51C47">
        <w:t>undergraduate education does not engage students a</w:t>
      </w:r>
      <w:r w:rsidR="00D2462C">
        <w:t xml:space="preserve">s active research agents. In my </w:t>
      </w:r>
      <w:r w:rsidRPr="00A51C47">
        <w:t>experience, we spend too much time telling students what w</w:t>
      </w:r>
      <w:r w:rsidR="00D2462C">
        <w:t xml:space="preserve">e think they need to know, </w:t>
      </w:r>
      <w:r w:rsidRPr="00A51C47">
        <w:t xml:space="preserve">and not enough time using their curiosity to drive their </w:t>
      </w:r>
      <w:r w:rsidR="00D2462C">
        <w:t xml:space="preserve">learning. Miami is fortunate to </w:t>
      </w:r>
      <w:r w:rsidRPr="00A51C47">
        <w:t>have the potential to lead the charge toward a new form of active, engaged education for</w:t>
      </w:r>
      <w:r w:rsidR="00D2462C">
        <w:t xml:space="preserve"> </w:t>
      </w:r>
      <w:r w:rsidRPr="00A51C47">
        <w:t xml:space="preserve">our undergraduates through the fusion of scholarship and </w:t>
      </w:r>
      <w:r w:rsidR="00D2462C">
        <w:t xml:space="preserve">teaching – in essence, lighting </w:t>
      </w:r>
      <w:r w:rsidRPr="00A51C47">
        <w:t>the fire of learning.</w:t>
      </w:r>
    </w:p>
    <w:p w:rsidR="00013B54" w:rsidRDefault="00BD3E88" w:rsidP="0024303B">
      <w:r w:rsidRPr="0024303B">
        <w:t>Since 2006</w:t>
      </w:r>
      <w:r w:rsidR="00350D39" w:rsidRPr="0024303B">
        <w:t xml:space="preserve">, President Hodge has set about ensuring that inquiry and knowledge-construction are the heart of the Miami experience.  </w:t>
      </w:r>
      <w:r w:rsidR="005B3F57">
        <w:t>One of his</w:t>
      </w:r>
      <w:r w:rsidR="008404C8" w:rsidRPr="0024303B">
        <w:t xml:space="preserve"> key initiatives has been </w:t>
      </w:r>
      <w:r w:rsidR="005B3F57">
        <w:t xml:space="preserve">the </w:t>
      </w:r>
      <w:r w:rsidR="00F17353">
        <w:t>“</w:t>
      </w:r>
      <w:r w:rsidR="005B3F57">
        <w:t>Top 25 Project</w:t>
      </w:r>
      <w:r w:rsidR="00F17353">
        <w:t>”</w:t>
      </w:r>
      <w:r w:rsidR="005B3F57">
        <w:t xml:space="preserve"> which focused</w:t>
      </w:r>
      <w:r w:rsidR="008404C8" w:rsidRPr="0024303B">
        <w:t xml:space="preserve"> on transforming Miami’s highest enrollment courses to make them more inquiry-driven with students positioned at the very center of the learning experience. </w:t>
      </w:r>
      <w:r w:rsidR="00013B54" w:rsidRPr="0024303B">
        <w:t>To date, 28 courses from 23 different</w:t>
      </w:r>
      <w:r w:rsidR="00F17353">
        <w:t xml:space="preserve"> departments have been</w:t>
      </w:r>
      <w:r w:rsidR="00D92F8B">
        <w:t xml:space="preserve"> completely</w:t>
      </w:r>
      <w:r w:rsidR="00013B54" w:rsidRPr="0024303B">
        <w:t xml:space="preserve"> overhauled, and assessment demonstrates that these courses</w:t>
      </w:r>
      <w:r w:rsidR="0024303B">
        <w:t>, in comparison to courses taught in a traditional for</w:t>
      </w:r>
      <w:r w:rsidR="005B3F57">
        <w:t xml:space="preserve">mat, are making </w:t>
      </w:r>
      <w:r w:rsidR="00F17353">
        <w:t xml:space="preserve">a </w:t>
      </w:r>
      <w:r w:rsidR="005B3F57">
        <w:t xml:space="preserve">positive impact on students. </w:t>
      </w:r>
    </w:p>
    <w:p w:rsidR="00BD3E88" w:rsidRPr="00C42D2D" w:rsidRDefault="008404C8" w:rsidP="00C42D2D">
      <w:r w:rsidRPr="00C42D2D">
        <w:t>In 200</w:t>
      </w:r>
      <w:r w:rsidR="00C42D2D" w:rsidRPr="00C42D2D">
        <w:t xml:space="preserve">9, Miami hosted </w:t>
      </w:r>
      <w:hyperlink r:id="rId17" w:history="1">
        <w:r w:rsidR="00C42D2D">
          <w:rPr>
            <w:rStyle w:val="Hyperlink"/>
            <w:color w:val="auto"/>
            <w:u w:val="none"/>
          </w:rPr>
          <w:t>t</w:t>
        </w:r>
        <w:r w:rsidR="00BD3E88" w:rsidRPr="00C42D2D">
          <w:rPr>
            <w:rStyle w:val="Hyperlink"/>
            <w:color w:val="auto"/>
            <w:u w:val="none"/>
          </w:rPr>
          <w:t>he Bicentennial Symposium on the Engaged University,</w:t>
        </w:r>
      </w:hyperlink>
      <w:r w:rsidR="00BD3E88" w:rsidRPr="00C42D2D">
        <w:rPr>
          <w:rStyle w:val="apple-converted-space"/>
        </w:rPr>
        <w:t> </w:t>
      </w:r>
      <w:r w:rsidR="00BD3E88" w:rsidRPr="00C42D2D">
        <w:t xml:space="preserve">which </w:t>
      </w:r>
      <w:r w:rsidR="00C42D2D" w:rsidRPr="00C42D2D">
        <w:t xml:space="preserve">brought national leaders </w:t>
      </w:r>
      <w:r w:rsidR="00BD3E88" w:rsidRPr="00C42D2D">
        <w:t xml:space="preserve">to </w:t>
      </w:r>
      <w:r w:rsidR="00C42D2D" w:rsidRPr="00C42D2D">
        <w:t xml:space="preserve">campus to work with faculty to </w:t>
      </w:r>
      <w:r w:rsidR="00182FA8">
        <w:t>imagine the u</w:t>
      </w:r>
      <w:r w:rsidR="00D92F8B">
        <w:t>niversity during</w:t>
      </w:r>
      <w:r w:rsidR="00B87D39">
        <w:t xml:space="preserve"> its</w:t>
      </w:r>
      <w:r w:rsidR="00BD3E88" w:rsidRPr="00C42D2D">
        <w:t xml:space="preserve"> next centennial - one that will prepare students to succeed</w:t>
      </w:r>
      <w:r w:rsidR="00013B54">
        <w:t xml:space="preserve"> and lead</w:t>
      </w:r>
      <w:r w:rsidR="00B87D39">
        <w:t xml:space="preserve"> as critical thinkers and engaged scholars</w:t>
      </w:r>
      <w:r w:rsidR="00BD3E88" w:rsidRPr="00C42D2D">
        <w:t>.</w:t>
      </w:r>
    </w:p>
    <w:p w:rsidR="00350D39" w:rsidRDefault="00350D39" w:rsidP="004464CA">
      <w:r>
        <w:t xml:space="preserve">The current and the newly approved </w:t>
      </w:r>
      <w:r w:rsidR="007F6D61">
        <w:t xml:space="preserve">versions of the </w:t>
      </w:r>
      <w:r>
        <w:t xml:space="preserve">Global Miami Plan </w:t>
      </w:r>
      <w:r w:rsidR="00B87D39">
        <w:t xml:space="preserve">both </w:t>
      </w:r>
      <w:r>
        <w:t xml:space="preserve">feature “critical thinking” as </w:t>
      </w:r>
      <w:r w:rsidR="00820255">
        <w:t xml:space="preserve">a key outcome, and </w:t>
      </w:r>
      <w:r w:rsidR="00B87D39">
        <w:t>in the newly approved plan, capstone courses will be</w:t>
      </w:r>
      <w:r w:rsidR="00820255">
        <w:t xml:space="preserve"> required to includ</w:t>
      </w:r>
      <w:r w:rsidR="007F6D61">
        <w:t>e a student-driven</w:t>
      </w:r>
      <w:r w:rsidR="00B87D39">
        <w:t xml:space="preserve"> project that meets written communication and critical thinking outcomes.</w:t>
      </w:r>
    </w:p>
    <w:p w:rsidR="0085421B" w:rsidRDefault="0085421B" w:rsidP="004464CA">
      <w:r>
        <w:t>Finally, the Miami 2020 Plan furth</w:t>
      </w:r>
      <w:r w:rsidR="00D92F8B">
        <w:t>er fortifies these values in its</w:t>
      </w:r>
      <w:r>
        <w:t xml:space="preserve"> second objective: “Immerse faculty, undergraduate and graduate students in research and creative scholarship that forms a vital part of the learning experience.”</w:t>
      </w:r>
    </w:p>
    <w:p w:rsidR="00980F89" w:rsidRPr="00064C2C" w:rsidRDefault="00076029" w:rsidP="00064C2C">
      <w:pPr>
        <w:rPr>
          <w:shd w:val="clear" w:color="auto" w:fill="FFFFFF"/>
        </w:rPr>
      </w:pPr>
      <w:r>
        <w:rPr>
          <w:shd w:val="clear" w:color="auto" w:fill="FFFFFF"/>
        </w:rPr>
        <w:t>The Office of Institutional Research analyzed trends related to inquiry-based learning and critical thinking found in the National Survey of Student Engagement (NSSE) for Miami University from 2</w:t>
      </w:r>
      <w:r w:rsidR="00993CC7">
        <w:rPr>
          <w:shd w:val="clear" w:color="auto" w:fill="FFFFFF"/>
        </w:rPr>
        <w:t>003-</w:t>
      </w:r>
      <w:r>
        <w:rPr>
          <w:shd w:val="clear" w:color="auto" w:fill="FFFFFF"/>
        </w:rPr>
        <w:t xml:space="preserve">2011. The results suggest that </w:t>
      </w:r>
      <w:r w:rsidR="00D92F8B">
        <w:rPr>
          <w:shd w:val="clear" w:color="auto" w:fill="FFFFFF"/>
        </w:rPr>
        <w:t>Miami University has experienced</w:t>
      </w:r>
      <w:r>
        <w:rPr>
          <w:shd w:val="clear" w:color="auto" w:fill="FFFFFF"/>
        </w:rPr>
        <w:t xml:space="preserve"> improvements in its academic environment tha</w:t>
      </w:r>
      <w:r w:rsidR="00D92F8B">
        <w:rPr>
          <w:shd w:val="clear" w:color="auto" w:fill="FFFFFF"/>
        </w:rPr>
        <w:t>t were</w:t>
      </w:r>
      <w:r>
        <w:rPr>
          <w:shd w:val="clear" w:color="auto" w:fill="FFFFFF"/>
        </w:rPr>
        <w:t xml:space="preserve"> not occurring at othe</w:t>
      </w:r>
      <w:r w:rsidR="007F6D61">
        <w:rPr>
          <w:shd w:val="clear" w:color="auto" w:fill="FFFFFF"/>
        </w:rPr>
        <w:t>r institutions. Miami</w:t>
      </w:r>
      <w:r>
        <w:rPr>
          <w:shd w:val="clear" w:color="auto" w:fill="FFFFFF"/>
        </w:rPr>
        <w:t xml:space="preserve"> students' benchm</w:t>
      </w:r>
      <w:r w:rsidR="009B4090">
        <w:rPr>
          <w:shd w:val="clear" w:color="auto" w:fill="FFFFFF"/>
        </w:rPr>
        <w:t xml:space="preserve">ark scores and scores on </w:t>
      </w:r>
      <w:r w:rsidR="00D92F8B">
        <w:rPr>
          <w:shd w:val="clear" w:color="auto" w:fill="FFFFFF"/>
        </w:rPr>
        <w:t xml:space="preserve">relevant items </w:t>
      </w:r>
      <w:r>
        <w:rPr>
          <w:shd w:val="clear" w:color="auto" w:fill="FFFFFF"/>
        </w:rPr>
        <w:t>consistently increased between 2003 and 2011, whereas compa</w:t>
      </w:r>
      <w:r w:rsidR="00D92F8B">
        <w:rPr>
          <w:shd w:val="clear" w:color="auto" w:fill="FFFFFF"/>
        </w:rPr>
        <w:t xml:space="preserve">rison institutions' scores </w:t>
      </w:r>
      <w:r>
        <w:rPr>
          <w:shd w:val="clear" w:color="auto" w:fill="FFFFFF"/>
        </w:rPr>
        <w:t xml:space="preserve">remained relatively stable on most items. </w:t>
      </w:r>
    </w:p>
    <w:p w:rsidR="006970A1" w:rsidRDefault="00A61159" w:rsidP="00217176">
      <w:r w:rsidRPr="006970A1">
        <w:t>Miami offers an array of co-curricular and extra-cu</w:t>
      </w:r>
      <w:r w:rsidR="00D37447">
        <w:t>rricular programs that prompt</w:t>
      </w:r>
      <w:r w:rsidRPr="006970A1">
        <w:t xml:space="preserve"> students to wrestle with differing perspectives</w:t>
      </w:r>
      <w:r w:rsidR="006970A1" w:rsidRPr="006970A1">
        <w:t>. For example, the Janus Forum, which or</w:t>
      </w:r>
      <w:r w:rsidR="00D37447">
        <w:t xml:space="preserve">iginated in 2012, encourages </w:t>
      </w:r>
      <w:r w:rsidR="006970A1" w:rsidRPr="006970A1">
        <w:t xml:space="preserve">members of the community to come together and discuss opposing views on public affairs freely and passionately. In 2013, </w:t>
      </w:r>
      <w:r w:rsidR="007F6D61">
        <w:t xml:space="preserve">the </w:t>
      </w:r>
      <w:r w:rsidR="007F6D61">
        <w:lastRenderedPageBreak/>
        <w:t xml:space="preserve">Janus Forum brought </w:t>
      </w:r>
      <w:r w:rsidR="006970A1" w:rsidRPr="006970A1">
        <w:t xml:space="preserve">Bill Kristol and Bill Richardson </w:t>
      </w:r>
      <w:r w:rsidR="007F6D61">
        <w:t xml:space="preserve">to </w:t>
      </w:r>
      <w:r w:rsidR="001B26B5">
        <w:t xml:space="preserve">the Oxford </w:t>
      </w:r>
      <w:r w:rsidR="007F6D61">
        <w:t>campus to engage</w:t>
      </w:r>
      <w:r w:rsidR="006970A1" w:rsidRPr="006970A1">
        <w:t xml:space="preserve"> students, faculty members</w:t>
      </w:r>
      <w:r w:rsidR="001B26B5">
        <w:t>,</w:t>
      </w:r>
      <w:r w:rsidR="006970A1" w:rsidRPr="006970A1">
        <w:t xml:space="preserve"> and the general public in a debate on </w:t>
      </w:r>
      <w:r w:rsidR="00D37447">
        <w:t>US foreign policy</w:t>
      </w:r>
      <w:r w:rsidR="00B3493F">
        <w:t>.  In addition, e</w:t>
      </w:r>
      <w:r w:rsidR="00217176">
        <w:t xml:space="preserve">ach year, incoming students are required to participate in a summer reading program in which they read </w:t>
      </w:r>
      <w:r w:rsidR="00B3493F">
        <w:t>an assigned book and then participate</w:t>
      </w:r>
      <w:r w:rsidR="00217176">
        <w:t xml:space="preserve"> in a discussion with faculty and peers prior to the b</w:t>
      </w:r>
      <w:r w:rsidR="00B3493F">
        <w:t>eginning of the semester.  The S</w:t>
      </w:r>
      <w:r w:rsidR="00217176">
        <w:t>ummer Reading Committee makes special efforts to select readings that will provoke lively debate and discussion</w:t>
      </w:r>
      <w:r w:rsidR="00820255">
        <w:t xml:space="preserve">.  </w:t>
      </w:r>
    </w:p>
    <w:p w:rsidR="00B87D39" w:rsidRPr="006970A1" w:rsidRDefault="00B87D39" w:rsidP="00217176">
      <w:r>
        <w:t>Students have the opportunity to express their perspectives and pursue inquiry not only in Miami courses but also in one of Miami’</w:t>
      </w:r>
      <w:r w:rsidR="00BC3057">
        <w:t>s many student publication outlets, includ</w:t>
      </w:r>
      <w:r w:rsidR="00F544A8">
        <w:t>ing the student newspaper</w:t>
      </w:r>
      <w:r w:rsidR="00574204">
        <w:t xml:space="preserve"> and literary journals</w:t>
      </w:r>
      <w:r w:rsidR="00BC3057">
        <w:t xml:space="preserve">.  </w:t>
      </w:r>
    </w:p>
    <w:p w:rsidR="00C347A1" w:rsidRPr="00682872" w:rsidRDefault="00980F89" w:rsidP="006123C5">
      <w:r w:rsidRPr="00682872">
        <w:t>Freedom of inquiry and exp</w:t>
      </w:r>
      <w:r w:rsidR="009B4090" w:rsidRPr="00682872">
        <w:t>ression are also embedded in Miami’s</w:t>
      </w:r>
      <w:r w:rsidRPr="00682872">
        <w:t xml:space="preserve"> policies and practices.  The “Statement of Good Teaching Practices” (MUPIM 5.4.M) states that “As teachers, professors encourage the free pursuit of learning in students.  Teachers exemplify the best scholarly standards of their disciplines.  They demonstrate respect for students as individuals, and adhere to their proper roles as intellectual guides and counselors. . . . Professors protect their [students’] academic freedom.”</w:t>
      </w:r>
      <w:r w:rsidR="00933A62" w:rsidRPr="00682872">
        <w:t xml:space="preserve">  </w:t>
      </w:r>
      <w:r w:rsidR="004F3568">
        <w:t>The policy manual</w:t>
      </w:r>
      <w:r w:rsidR="00C347A1">
        <w:t xml:space="preserve"> also asserts the faculty’s right to the principles of academic freedom (MUPIM 5.1)</w:t>
      </w:r>
      <w:r w:rsidR="00015101">
        <w:t xml:space="preserve"> by noting</w:t>
      </w:r>
      <w:r w:rsidR="00F76A9F">
        <w:t>:</w:t>
      </w:r>
      <w:r w:rsidR="00015101">
        <w:t xml:space="preserve"> “Academic freedom is essential . . . and applies to both teaching and research.  Freedom in research is fundamental to the advancement of truth.  Academic freedom in its teaching aspect is fundamental for the protection of the rights of the teacher in teaching and of the student to freedom in learning.”</w:t>
      </w:r>
      <w:r w:rsidR="00C347A1">
        <w:t xml:space="preserve"> </w:t>
      </w:r>
      <w:r w:rsidR="00432F1F">
        <w:t xml:space="preserve">  Promotion and tenure criteria</w:t>
      </w:r>
      <w:r w:rsidR="00F718F9">
        <w:t xml:space="preserve"> and evaluation processes also reinforce </w:t>
      </w:r>
      <w:r w:rsidR="00F544A8">
        <w:t>these values.</w:t>
      </w:r>
      <w:r w:rsidR="00432F1F">
        <w:t xml:space="preserve"> MUPIM 7.3.A states, “Tenure is a means of assuring academic freedom: that is, the freedom to teach, to inquire, to create, to debate, to question, and to dissent. . . Such activity is the essence of the search for truth and knowledge, and is primary to the University.”</w:t>
      </w:r>
    </w:p>
    <w:p w:rsidR="004F3568" w:rsidRDefault="004F3568" w:rsidP="004F3568">
      <w:r>
        <w:t>Undergraduate and graduate s</w:t>
      </w:r>
      <w:r w:rsidR="00682A1D">
        <w:t>tudents are also instilled with these values</w:t>
      </w:r>
      <w:r>
        <w:t xml:space="preserve">.  </w:t>
      </w:r>
      <w:r w:rsidR="00B3493F">
        <w:t>The academic i</w:t>
      </w:r>
      <w:r w:rsidRPr="00682872">
        <w:t>ntegrity policy in th</w:t>
      </w:r>
      <w:r w:rsidR="00B3493F">
        <w:t>e student h</w:t>
      </w:r>
      <w:r w:rsidRPr="00682872">
        <w:t>andbook begins with the assertion, “The rights and responsibilities that accompany academic freedom are at the heart of the intellectual inte</w:t>
      </w:r>
      <w:r w:rsidR="00B3493F">
        <w:t>grity of the University.”  The academic and research/creative activity integrity section in the g</w:t>
      </w:r>
      <w:r w:rsidRPr="00682872">
        <w:t>raduate</w:t>
      </w:r>
      <w:r w:rsidR="00B3493F">
        <w:t xml:space="preserve"> h</w:t>
      </w:r>
      <w:r w:rsidRPr="00682872">
        <w:t>andbook reinforces these values with the statement:</w:t>
      </w:r>
      <w:r>
        <w:t xml:space="preserve"> “</w:t>
      </w:r>
      <w:r w:rsidRPr="00682872">
        <w:t>As a community of scholars, our fundamental purpo</w:t>
      </w:r>
      <w:r>
        <w:t>se is the pursuit of knowledge.”</w:t>
      </w:r>
    </w:p>
    <w:p w:rsidR="00682A1D" w:rsidRDefault="00682A1D" w:rsidP="00F544A8">
      <w:r>
        <w:t>Although academic freedom and the pursuit of knowledge are fundamental to Miami University, there is always room for improvement, such as:</w:t>
      </w:r>
    </w:p>
    <w:p w:rsidR="00B40F60" w:rsidRPr="008A3E33" w:rsidRDefault="00682A1D" w:rsidP="00F5054C">
      <w:pPr>
        <w:pStyle w:val="ListParagraph"/>
        <w:numPr>
          <w:ilvl w:val="0"/>
          <w:numId w:val="69"/>
        </w:numPr>
      </w:pPr>
      <w:r>
        <w:t>Enhancing f</w:t>
      </w:r>
      <w:r w:rsidR="00F544A8">
        <w:t>aculty training in</w:t>
      </w:r>
      <w:r>
        <w:t xml:space="preserve"> </w:t>
      </w:r>
      <w:r w:rsidR="00B40F60" w:rsidRPr="008A3E33">
        <w:t>critical thinking</w:t>
      </w:r>
      <w:r w:rsidR="00CA3876">
        <w:t xml:space="preserve"> and helping faculty handle controversial topics or disagreements in class</w:t>
      </w:r>
      <w:r w:rsidR="00F544A8">
        <w:t>; and</w:t>
      </w:r>
    </w:p>
    <w:p w:rsidR="00B40F60" w:rsidRPr="008A3E33" w:rsidRDefault="00682A1D" w:rsidP="00F5054C">
      <w:pPr>
        <w:pStyle w:val="ListParagraph"/>
        <w:numPr>
          <w:ilvl w:val="0"/>
          <w:numId w:val="69"/>
        </w:numPr>
      </w:pPr>
      <w:r>
        <w:t>Continuing to provide s</w:t>
      </w:r>
      <w:r w:rsidR="00B40F60" w:rsidRPr="008A3E33">
        <w:t>upport for scholarly inquiry during a period of declining funding and support</w:t>
      </w:r>
      <w:r>
        <w:t>.</w:t>
      </w:r>
    </w:p>
    <w:p w:rsidR="00B40F60" w:rsidRDefault="00B40F60" w:rsidP="00B40F60">
      <w:pPr>
        <w:pStyle w:val="Heading2"/>
      </w:pPr>
      <w:r>
        <w:t>Sources</w:t>
      </w:r>
    </w:p>
    <w:p w:rsidR="00F20108" w:rsidRDefault="00F20108" w:rsidP="00072109">
      <w:pPr>
        <w:pStyle w:val="NoSpacing"/>
        <w:numPr>
          <w:ilvl w:val="0"/>
          <w:numId w:val="7"/>
        </w:numPr>
        <w:tabs>
          <w:tab w:val="left" w:pos="432"/>
        </w:tabs>
        <w:ind w:left="432" w:hanging="432"/>
        <w:rPr>
          <w:sz w:val="20"/>
          <w:szCs w:val="20"/>
        </w:rPr>
      </w:pPr>
      <w:r>
        <w:rPr>
          <w:sz w:val="20"/>
          <w:szCs w:val="20"/>
        </w:rPr>
        <w:t>President’s Inaugural Address</w:t>
      </w:r>
      <w:r w:rsidR="003A5E1A">
        <w:rPr>
          <w:sz w:val="20"/>
          <w:szCs w:val="20"/>
        </w:rPr>
        <w:t xml:space="preserve"> - 2006</w:t>
      </w:r>
    </w:p>
    <w:p w:rsidR="00C5569C" w:rsidRDefault="00C5569C" w:rsidP="00072109">
      <w:pPr>
        <w:pStyle w:val="NoSpacing"/>
        <w:numPr>
          <w:ilvl w:val="0"/>
          <w:numId w:val="7"/>
        </w:numPr>
        <w:tabs>
          <w:tab w:val="left" w:pos="432"/>
        </w:tabs>
        <w:ind w:left="432" w:hanging="432"/>
        <w:rPr>
          <w:sz w:val="20"/>
          <w:szCs w:val="20"/>
        </w:rPr>
      </w:pPr>
      <w:r>
        <w:rPr>
          <w:sz w:val="20"/>
          <w:szCs w:val="20"/>
        </w:rPr>
        <w:t>Article about TOP 25 project in Change Magazine</w:t>
      </w:r>
    </w:p>
    <w:p w:rsidR="00C5569C" w:rsidRDefault="00C5569C" w:rsidP="00072109">
      <w:pPr>
        <w:pStyle w:val="NoSpacing"/>
        <w:numPr>
          <w:ilvl w:val="0"/>
          <w:numId w:val="7"/>
        </w:numPr>
        <w:tabs>
          <w:tab w:val="left" w:pos="432"/>
        </w:tabs>
        <w:ind w:left="432" w:hanging="432"/>
        <w:rPr>
          <w:sz w:val="20"/>
          <w:szCs w:val="20"/>
        </w:rPr>
      </w:pPr>
      <w:r>
        <w:rPr>
          <w:sz w:val="20"/>
          <w:szCs w:val="20"/>
        </w:rPr>
        <w:t>President’s Student as Scholar/Engaged Learning articles in Liberal Education Maga</w:t>
      </w:r>
      <w:r w:rsidR="00F20108">
        <w:rPr>
          <w:sz w:val="20"/>
          <w:szCs w:val="20"/>
        </w:rPr>
        <w:t>z</w:t>
      </w:r>
      <w:r>
        <w:rPr>
          <w:sz w:val="20"/>
          <w:szCs w:val="20"/>
        </w:rPr>
        <w:t>ine</w:t>
      </w:r>
    </w:p>
    <w:p w:rsidR="00EF4C5A" w:rsidRDefault="00B40F60" w:rsidP="00EF4C5A">
      <w:pPr>
        <w:pStyle w:val="NoSpacing"/>
        <w:numPr>
          <w:ilvl w:val="0"/>
          <w:numId w:val="7"/>
        </w:numPr>
        <w:tabs>
          <w:tab w:val="left" w:pos="432"/>
        </w:tabs>
        <w:ind w:left="432" w:hanging="432"/>
        <w:rPr>
          <w:sz w:val="20"/>
          <w:szCs w:val="20"/>
        </w:rPr>
      </w:pPr>
      <w:r w:rsidRPr="00006CA8">
        <w:rPr>
          <w:sz w:val="20"/>
          <w:szCs w:val="20"/>
        </w:rPr>
        <w:t>Policies related to academic freedom in MUPIM</w:t>
      </w:r>
    </w:p>
    <w:p w:rsidR="00EF4C5A" w:rsidRPr="00EF4C5A" w:rsidRDefault="00EF4C5A" w:rsidP="00EF4C5A">
      <w:pPr>
        <w:pStyle w:val="NoSpacing"/>
        <w:numPr>
          <w:ilvl w:val="0"/>
          <w:numId w:val="7"/>
        </w:numPr>
        <w:tabs>
          <w:tab w:val="left" w:pos="432"/>
        </w:tabs>
        <w:ind w:left="432" w:hanging="432"/>
        <w:rPr>
          <w:sz w:val="20"/>
          <w:szCs w:val="20"/>
        </w:rPr>
      </w:pPr>
      <w:r w:rsidRPr="00EF4C5A">
        <w:rPr>
          <w:sz w:val="20"/>
          <w:szCs w:val="20"/>
        </w:rPr>
        <w:t>NSEE comparison study, 2003-2011--</w:t>
      </w:r>
      <w:r w:rsidRPr="00EF4C5A">
        <w:rPr>
          <w:shd w:val="clear" w:color="auto" w:fill="FFFFFF"/>
        </w:rPr>
        <w:t xml:space="preserve">See: </w:t>
      </w:r>
      <w:hyperlink r:id="rId18" w:history="1">
        <w:r w:rsidRPr="00EF4C5A">
          <w:rPr>
            <w:rStyle w:val="Hyperlink"/>
            <w:shd w:val="clear" w:color="auto" w:fill="FFFFFF"/>
          </w:rPr>
          <w:t>http://www.units.miamioh.edu/celt/engaged_learning/top25/documents/NSSE%20Trend%20Data.pdf</w:t>
        </w:r>
      </w:hyperlink>
    </w:p>
    <w:p w:rsidR="00B40F60" w:rsidRPr="00006CA8" w:rsidRDefault="00B40F60" w:rsidP="00072109">
      <w:pPr>
        <w:pStyle w:val="NoSpacing"/>
        <w:numPr>
          <w:ilvl w:val="0"/>
          <w:numId w:val="7"/>
        </w:numPr>
        <w:tabs>
          <w:tab w:val="left" w:pos="432"/>
        </w:tabs>
        <w:ind w:left="432" w:hanging="432"/>
        <w:rPr>
          <w:sz w:val="20"/>
          <w:szCs w:val="20"/>
        </w:rPr>
      </w:pPr>
      <w:r w:rsidRPr="00006CA8">
        <w:rPr>
          <w:sz w:val="20"/>
          <w:szCs w:val="20"/>
        </w:rPr>
        <w:t>P&amp;T document and processes</w:t>
      </w:r>
    </w:p>
    <w:p w:rsidR="00B40F60" w:rsidRPr="00006CA8" w:rsidRDefault="00B40F60" w:rsidP="00072109">
      <w:pPr>
        <w:pStyle w:val="NoSpacing"/>
        <w:numPr>
          <w:ilvl w:val="0"/>
          <w:numId w:val="7"/>
        </w:numPr>
        <w:tabs>
          <w:tab w:val="left" w:pos="432"/>
        </w:tabs>
        <w:ind w:left="432" w:hanging="432"/>
        <w:rPr>
          <w:sz w:val="20"/>
          <w:szCs w:val="20"/>
        </w:rPr>
      </w:pPr>
      <w:r w:rsidRPr="00006CA8">
        <w:rPr>
          <w:sz w:val="20"/>
          <w:szCs w:val="20"/>
        </w:rPr>
        <w:t>Research support (leaves, grants, support for conferences, fellowships)</w:t>
      </w:r>
    </w:p>
    <w:p w:rsidR="00B40F60" w:rsidRDefault="00B40F60" w:rsidP="00072109">
      <w:pPr>
        <w:pStyle w:val="NoSpacing"/>
        <w:numPr>
          <w:ilvl w:val="0"/>
          <w:numId w:val="7"/>
        </w:numPr>
        <w:tabs>
          <w:tab w:val="left" w:pos="432"/>
        </w:tabs>
        <w:ind w:left="432" w:hanging="432"/>
        <w:rPr>
          <w:sz w:val="20"/>
          <w:szCs w:val="20"/>
        </w:rPr>
      </w:pPr>
      <w:r w:rsidRPr="00006CA8">
        <w:rPr>
          <w:sz w:val="20"/>
          <w:szCs w:val="20"/>
        </w:rPr>
        <w:t>Values Statement</w:t>
      </w:r>
    </w:p>
    <w:p w:rsidR="00BF50A9" w:rsidRPr="00006CA8" w:rsidRDefault="00BF50A9" w:rsidP="00072109">
      <w:pPr>
        <w:pStyle w:val="NoSpacing"/>
        <w:numPr>
          <w:ilvl w:val="0"/>
          <w:numId w:val="7"/>
        </w:numPr>
        <w:tabs>
          <w:tab w:val="left" w:pos="432"/>
        </w:tabs>
        <w:ind w:left="432" w:hanging="432"/>
        <w:rPr>
          <w:sz w:val="20"/>
          <w:szCs w:val="20"/>
        </w:rPr>
      </w:pPr>
      <w:r>
        <w:rPr>
          <w:sz w:val="20"/>
          <w:szCs w:val="20"/>
        </w:rPr>
        <w:t>MUPIM, 5.4.M, 5.1, 7.3.A</w:t>
      </w:r>
    </w:p>
    <w:p w:rsidR="00B40F60" w:rsidRDefault="00B40F60" w:rsidP="00072109">
      <w:pPr>
        <w:pStyle w:val="NoSpacing"/>
        <w:numPr>
          <w:ilvl w:val="0"/>
          <w:numId w:val="7"/>
        </w:numPr>
        <w:tabs>
          <w:tab w:val="left" w:pos="432"/>
        </w:tabs>
        <w:ind w:left="432" w:hanging="432"/>
        <w:rPr>
          <w:sz w:val="20"/>
          <w:szCs w:val="20"/>
        </w:rPr>
      </w:pPr>
      <w:r w:rsidRPr="00006CA8">
        <w:rPr>
          <w:sz w:val="20"/>
          <w:szCs w:val="20"/>
        </w:rPr>
        <w:t>Student Handbook (Student Code of Conduct)</w:t>
      </w:r>
    </w:p>
    <w:p w:rsidR="00AC1D42" w:rsidRDefault="00AC1D42" w:rsidP="00072109">
      <w:pPr>
        <w:pStyle w:val="NoSpacing"/>
        <w:numPr>
          <w:ilvl w:val="0"/>
          <w:numId w:val="7"/>
        </w:numPr>
        <w:tabs>
          <w:tab w:val="left" w:pos="432"/>
        </w:tabs>
        <w:ind w:left="432" w:hanging="432"/>
        <w:rPr>
          <w:sz w:val="20"/>
          <w:szCs w:val="20"/>
        </w:rPr>
      </w:pPr>
      <w:r>
        <w:rPr>
          <w:sz w:val="20"/>
          <w:szCs w:val="20"/>
        </w:rPr>
        <w:t>Academic Integrity Policy</w:t>
      </w:r>
    </w:p>
    <w:p w:rsidR="00AC1D42" w:rsidRPr="00006CA8" w:rsidRDefault="00AC1D42" w:rsidP="00072109">
      <w:pPr>
        <w:pStyle w:val="NoSpacing"/>
        <w:numPr>
          <w:ilvl w:val="0"/>
          <w:numId w:val="7"/>
        </w:numPr>
        <w:tabs>
          <w:tab w:val="left" w:pos="432"/>
        </w:tabs>
        <w:ind w:left="432" w:hanging="432"/>
        <w:rPr>
          <w:sz w:val="20"/>
          <w:szCs w:val="20"/>
        </w:rPr>
      </w:pPr>
      <w:r>
        <w:rPr>
          <w:sz w:val="20"/>
          <w:szCs w:val="20"/>
        </w:rPr>
        <w:t>Academic and Research/Creative Policy in Graduate Student Handbook</w:t>
      </w:r>
    </w:p>
    <w:p w:rsidR="00B40F60" w:rsidRPr="00006CA8" w:rsidRDefault="00B40F60" w:rsidP="00072109">
      <w:pPr>
        <w:pStyle w:val="NoSpacing"/>
        <w:numPr>
          <w:ilvl w:val="0"/>
          <w:numId w:val="7"/>
        </w:numPr>
        <w:tabs>
          <w:tab w:val="left" w:pos="432"/>
        </w:tabs>
        <w:ind w:left="432" w:hanging="432"/>
        <w:rPr>
          <w:sz w:val="20"/>
          <w:szCs w:val="20"/>
        </w:rPr>
      </w:pPr>
      <w:r w:rsidRPr="00006CA8">
        <w:rPr>
          <w:sz w:val="20"/>
          <w:szCs w:val="20"/>
        </w:rPr>
        <w:t>Guidebook for New Students</w:t>
      </w:r>
    </w:p>
    <w:p w:rsidR="002A6B37" w:rsidRPr="002A6B37" w:rsidRDefault="00B40F60" w:rsidP="00072109">
      <w:pPr>
        <w:pStyle w:val="NoSpacing"/>
        <w:numPr>
          <w:ilvl w:val="0"/>
          <w:numId w:val="7"/>
        </w:numPr>
        <w:tabs>
          <w:tab w:val="left" w:pos="432"/>
        </w:tabs>
        <w:ind w:left="432" w:hanging="432"/>
        <w:rPr>
          <w:sz w:val="20"/>
          <w:szCs w:val="20"/>
        </w:rPr>
      </w:pPr>
      <w:r w:rsidRPr="00006CA8">
        <w:rPr>
          <w:sz w:val="20"/>
          <w:szCs w:val="20"/>
        </w:rPr>
        <w:lastRenderedPageBreak/>
        <w:t>Good Teaching Practices in Handbook for Graduate Students &amp; Faculty</w:t>
      </w:r>
    </w:p>
    <w:p w:rsidR="00B40F60" w:rsidRDefault="00B40F60" w:rsidP="00072109">
      <w:pPr>
        <w:pStyle w:val="NoSpacing"/>
        <w:numPr>
          <w:ilvl w:val="0"/>
          <w:numId w:val="7"/>
        </w:numPr>
        <w:tabs>
          <w:tab w:val="left" w:pos="432"/>
        </w:tabs>
        <w:ind w:left="432" w:hanging="432"/>
        <w:rPr>
          <w:sz w:val="20"/>
          <w:szCs w:val="20"/>
        </w:rPr>
      </w:pPr>
      <w:r w:rsidRPr="00006CA8">
        <w:rPr>
          <w:sz w:val="20"/>
          <w:szCs w:val="20"/>
        </w:rPr>
        <w:t>List of programs offered through Janus Forum, University Lecture Series, and other centers, departments and divisions on campus reflect diversity of perspectives</w:t>
      </w:r>
      <w:r w:rsidR="002A6B37">
        <w:rPr>
          <w:sz w:val="20"/>
          <w:szCs w:val="20"/>
        </w:rPr>
        <w:t xml:space="preserve"> or pdfs of appropriate webpages</w:t>
      </w:r>
    </w:p>
    <w:p w:rsidR="00B40F60" w:rsidRDefault="00B40F60" w:rsidP="00072109">
      <w:pPr>
        <w:pStyle w:val="NoSpacing"/>
        <w:numPr>
          <w:ilvl w:val="0"/>
          <w:numId w:val="7"/>
        </w:numPr>
        <w:tabs>
          <w:tab w:val="left" w:pos="432"/>
        </w:tabs>
        <w:ind w:left="432" w:hanging="432"/>
        <w:rPr>
          <w:sz w:val="20"/>
          <w:szCs w:val="20"/>
        </w:rPr>
      </w:pPr>
      <w:r w:rsidRPr="00B40F60">
        <w:rPr>
          <w:sz w:val="20"/>
          <w:szCs w:val="20"/>
        </w:rPr>
        <w:t>S</w:t>
      </w:r>
      <w:r w:rsidR="00163F78">
        <w:rPr>
          <w:sz w:val="20"/>
          <w:szCs w:val="20"/>
        </w:rPr>
        <w:t>ample student newspapers from 2013-2014</w:t>
      </w:r>
    </w:p>
    <w:p w:rsidR="00BF50A9" w:rsidRDefault="00BF50A9" w:rsidP="00072109">
      <w:pPr>
        <w:pStyle w:val="NoSpacing"/>
        <w:numPr>
          <w:ilvl w:val="0"/>
          <w:numId w:val="7"/>
        </w:numPr>
        <w:tabs>
          <w:tab w:val="left" w:pos="432"/>
        </w:tabs>
        <w:ind w:left="432" w:hanging="432"/>
        <w:rPr>
          <w:sz w:val="20"/>
          <w:szCs w:val="20"/>
        </w:rPr>
      </w:pPr>
      <w:r>
        <w:rPr>
          <w:sz w:val="20"/>
          <w:szCs w:val="20"/>
        </w:rPr>
        <w:t>Bicentennial Symposium Schedule</w:t>
      </w:r>
    </w:p>
    <w:p w:rsidR="00094361" w:rsidRDefault="00094361" w:rsidP="00072109">
      <w:pPr>
        <w:pStyle w:val="NoSpacing"/>
        <w:numPr>
          <w:ilvl w:val="0"/>
          <w:numId w:val="7"/>
        </w:numPr>
        <w:tabs>
          <w:tab w:val="left" w:pos="432"/>
        </w:tabs>
        <w:ind w:left="432" w:hanging="432"/>
        <w:rPr>
          <w:sz w:val="20"/>
          <w:szCs w:val="20"/>
        </w:rPr>
      </w:pPr>
      <w:r>
        <w:rPr>
          <w:sz w:val="20"/>
          <w:szCs w:val="20"/>
        </w:rPr>
        <w:t>Top 25 newsletters</w:t>
      </w:r>
    </w:p>
    <w:p w:rsidR="005B3F57" w:rsidRPr="00D37447" w:rsidRDefault="005B3F57" w:rsidP="00072109">
      <w:pPr>
        <w:pStyle w:val="NoSpacing"/>
        <w:numPr>
          <w:ilvl w:val="0"/>
          <w:numId w:val="7"/>
        </w:numPr>
        <w:tabs>
          <w:tab w:val="left" w:pos="432"/>
        </w:tabs>
        <w:ind w:left="432" w:hanging="432"/>
        <w:rPr>
          <w:sz w:val="20"/>
          <w:szCs w:val="20"/>
        </w:rPr>
      </w:pPr>
      <w:r>
        <w:rPr>
          <w:sz w:val="20"/>
          <w:szCs w:val="20"/>
        </w:rPr>
        <w:t xml:space="preserve">Top 25 Report: </w:t>
      </w:r>
      <w:hyperlink r:id="rId19" w:history="1">
        <w:r w:rsidR="00D37447" w:rsidRPr="00625373">
          <w:rPr>
            <w:rStyle w:val="Hyperlink"/>
          </w:rPr>
          <w:t>http://www.units.miamioh.edu/celt/engaged_learning/top25/documents/Top25ReportFall2013.pdf</w:t>
        </w:r>
      </w:hyperlink>
    </w:p>
    <w:p w:rsidR="00D37447" w:rsidRPr="00D37447" w:rsidRDefault="00D37447" w:rsidP="00072109">
      <w:pPr>
        <w:pStyle w:val="NoSpacing"/>
        <w:numPr>
          <w:ilvl w:val="0"/>
          <w:numId w:val="7"/>
        </w:numPr>
        <w:tabs>
          <w:tab w:val="left" w:pos="432"/>
        </w:tabs>
        <w:ind w:left="432" w:hanging="432"/>
        <w:rPr>
          <w:sz w:val="20"/>
          <w:szCs w:val="20"/>
        </w:rPr>
      </w:pPr>
      <w:r>
        <w:t xml:space="preserve">Janus Forum: </w:t>
      </w:r>
      <w:hyperlink r:id="rId20" w:history="1">
        <w:r w:rsidRPr="00625373">
          <w:rPr>
            <w:rStyle w:val="Hyperlink"/>
          </w:rPr>
          <w:t>http://miamioh.edu/janus/</w:t>
        </w:r>
      </w:hyperlink>
    </w:p>
    <w:p w:rsidR="00D37447" w:rsidRPr="00F544A8" w:rsidRDefault="00D37447" w:rsidP="00072109">
      <w:pPr>
        <w:pStyle w:val="NoSpacing"/>
        <w:numPr>
          <w:ilvl w:val="0"/>
          <w:numId w:val="7"/>
        </w:numPr>
        <w:tabs>
          <w:tab w:val="left" w:pos="432"/>
        </w:tabs>
        <w:ind w:left="432" w:hanging="432"/>
        <w:rPr>
          <w:sz w:val="20"/>
          <w:szCs w:val="20"/>
        </w:rPr>
      </w:pPr>
      <w:r>
        <w:t xml:space="preserve">Summer Reading Program Committee: </w:t>
      </w:r>
      <w:hyperlink r:id="rId21" w:history="1">
        <w:r w:rsidR="00F544A8" w:rsidRPr="00625373">
          <w:rPr>
            <w:rStyle w:val="Hyperlink"/>
          </w:rPr>
          <w:t>https://www.miami.muohio.edu/liberal-ed/pros-new-parents/summer-reading-program.html</w:t>
        </w:r>
      </w:hyperlink>
    </w:p>
    <w:p w:rsidR="00F544A8" w:rsidRPr="00BF50A9" w:rsidRDefault="00F544A8" w:rsidP="00072109">
      <w:pPr>
        <w:pStyle w:val="NoSpacing"/>
        <w:numPr>
          <w:ilvl w:val="0"/>
          <w:numId w:val="7"/>
        </w:numPr>
        <w:tabs>
          <w:tab w:val="left" w:pos="432"/>
        </w:tabs>
        <w:ind w:left="432" w:hanging="432"/>
        <w:rPr>
          <w:rStyle w:val="Hyperlink"/>
          <w:color w:val="auto"/>
          <w:sz w:val="20"/>
          <w:szCs w:val="20"/>
          <w:u w:val="none"/>
        </w:rPr>
      </w:pPr>
      <w:r>
        <w:t xml:space="preserve">Student publication outlets: </w:t>
      </w:r>
      <w:hyperlink r:id="rId22" w:history="1">
        <w:r w:rsidRPr="0027338D">
          <w:rPr>
            <w:rStyle w:val="Hyperlink"/>
          </w:rPr>
          <w:t>http://writingcenter.lib.muohio.edu/publish-your-writing/</w:t>
        </w:r>
      </w:hyperlink>
    </w:p>
    <w:p w:rsidR="00BF50A9" w:rsidRPr="00B40F60" w:rsidRDefault="00BF50A9" w:rsidP="00BF50A9">
      <w:pPr>
        <w:pStyle w:val="NoSpacing"/>
        <w:tabs>
          <w:tab w:val="left" w:pos="432"/>
        </w:tabs>
        <w:ind w:left="432"/>
        <w:rPr>
          <w:sz w:val="20"/>
          <w:szCs w:val="20"/>
        </w:rPr>
      </w:pPr>
    </w:p>
    <w:p w:rsidR="008F03CD" w:rsidRDefault="008F03CD" w:rsidP="009A4660"/>
    <w:p w:rsidR="00FB01C3" w:rsidRDefault="00FB01C3">
      <w:pPr>
        <w:rPr>
          <w:b/>
          <w:bCs/>
          <w:spacing w:val="5"/>
          <w:sz w:val="24"/>
          <w:szCs w:val="24"/>
        </w:rPr>
      </w:pPr>
      <w:r>
        <w:br w:type="page"/>
      </w:r>
    </w:p>
    <w:p w:rsidR="00234941" w:rsidRPr="00C345E6" w:rsidRDefault="00234941" w:rsidP="00234941">
      <w:pPr>
        <w:pStyle w:val="Heading4"/>
        <w:ind w:left="720" w:hanging="720"/>
      </w:pPr>
      <w:r>
        <w:lastRenderedPageBreak/>
        <w:t>2.E.</w:t>
      </w:r>
      <w:r>
        <w:tab/>
      </w:r>
      <w:r w:rsidRPr="00C345E6">
        <w:t>The institution</w:t>
      </w:r>
      <w:r w:rsidR="00F06286">
        <w:t>’s policies and procedures call for responsible acquisition, discovery, and application of knowledge by its</w:t>
      </w:r>
      <w:r w:rsidRPr="00C345E6">
        <w:t xml:space="preserve"> faculty, studen</w:t>
      </w:r>
      <w:r w:rsidR="00F06286">
        <w:t>ts, and staff</w:t>
      </w:r>
      <w:r w:rsidRPr="00C345E6">
        <w:t>.</w:t>
      </w:r>
    </w:p>
    <w:p w:rsidR="00234941" w:rsidRPr="00234941" w:rsidRDefault="00234941" w:rsidP="00234941">
      <w:pPr>
        <w:pStyle w:val="Heading5"/>
        <w:ind w:left="720" w:hanging="720"/>
        <w:rPr>
          <w:sz w:val="20"/>
          <w:szCs w:val="20"/>
        </w:rPr>
      </w:pPr>
      <w:r w:rsidRPr="00234941">
        <w:rPr>
          <w:sz w:val="20"/>
          <w:szCs w:val="20"/>
        </w:rPr>
        <w:t xml:space="preserve">2.E.1. </w:t>
      </w:r>
      <w:r w:rsidRPr="00234941">
        <w:rPr>
          <w:sz w:val="20"/>
          <w:szCs w:val="20"/>
        </w:rPr>
        <w:tab/>
        <w:t>The institution provides effective oversight and support services to ensure the integrity of research and scholarly practice conducted by its faculty, staff, and students.</w:t>
      </w:r>
    </w:p>
    <w:p w:rsidR="00234941" w:rsidRPr="00234941" w:rsidRDefault="00234941" w:rsidP="00234941">
      <w:pPr>
        <w:pStyle w:val="Heading5"/>
        <w:rPr>
          <w:sz w:val="20"/>
          <w:szCs w:val="20"/>
        </w:rPr>
      </w:pPr>
      <w:r w:rsidRPr="00234941">
        <w:rPr>
          <w:sz w:val="20"/>
          <w:szCs w:val="20"/>
        </w:rPr>
        <w:t xml:space="preserve">2.E.2. </w:t>
      </w:r>
      <w:r w:rsidRPr="00234941">
        <w:rPr>
          <w:sz w:val="20"/>
          <w:szCs w:val="20"/>
        </w:rPr>
        <w:tab/>
        <w:t xml:space="preserve">Students are offered guidance in the ethical use of information resources. </w:t>
      </w:r>
    </w:p>
    <w:p w:rsidR="000F66F1" w:rsidRPr="00234941" w:rsidRDefault="00234941" w:rsidP="00234941">
      <w:pPr>
        <w:pStyle w:val="Heading5"/>
        <w:rPr>
          <w:sz w:val="20"/>
          <w:szCs w:val="20"/>
        </w:rPr>
      </w:pPr>
      <w:r w:rsidRPr="00234941">
        <w:rPr>
          <w:sz w:val="20"/>
          <w:szCs w:val="20"/>
        </w:rPr>
        <w:t xml:space="preserve">2.E.3. </w:t>
      </w:r>
      <w:r w:rsidRPr="00234941">
        <w:rPr>
          <w:sz w:val="20"/>
          <w:szCs w:val="20"/>
        </w:rPr>
        <w:tab/>
        <w:t>The institution has and enforces policies on academic honesty and integrity.</w:t>
      </w:r>
    </w:p>
    <w:p w:rsidR="005B0066" w:rsidRDefault="005B0066" w:rsidP="005B0066"/>
    <w:p w:rsidR="005B0066" w:rsidRDefault="005B0066" w:rsidP="005B0066">
      <w:pPr>
        <w:pStyle w:val="Heading2"/>
      </w:pPr>
      <w:r>
        <w:t>Narrative</w:t>
      </w:r>
    </w:p>
    <w:p w:rsidR="005B0066" w:rsidRDefault="004B7AEF" w:rsidP="004B7AEF">
      <w:r>
        <w:t>With a mission</w:t>
      </w:r>
      <w:r w:rsidR="005B0066">
        <w:t xml:space="preserve"> focus</w:t>
      </w:r>
      <w:r>
        <w:t>ed</w:t>
      </w:r>
      <w:r w:rsidR="005B0066">
        <w:t xml:space="preserve"> on engaged learning and the student as scholar, Miami is committed to encouraging scholarly and creative inquiry in students and faculty. Inquiry and research are highlighted in the Miami 2020 Plan, most notably</w:t>
      </w:r>
      <w:r>
        <w:t xml:space="preserve"> in</w:t>
      </w:r>
      <w:r w:rsidR="005B0066">
        <w:t xml:space="preserve"> the unifying goal, objective two: </w:t>
      </w:r>
      <w:r>
        <w:t>“</w:t>
      </w:r>
      <w:r w:rsidR="005B0066">
        <w:t>Immerse faculty, undergraduate, and graduate students in research and creative scholarship that forms a vital part of the l</w:t>
      </w:r>
      <w:r>
        <w:t xml:space="preserve">earning experience.”  </w:t>
      </w:r>
      <w:r w:rsidR="005B0066">
        <w:t>Metrics for achieving this objective include:</w:t>
      </w:r>
    </w:p>
    <w:p w:rsidR="005B0066" w:rsidRDefault="005B0066" w:rsidP="00F5054C">
      <w:pPr>
        <w:pStyle w:val="ListParagraph"/>
        <w:numPr>
          <w:ilvl w:val="0"/>
          <w:numId w:val="52"/>
        </w:numPr>
      </w:pPr>
      <w:r>
        <w:t>Continue to increase the quality and impact of scholarship or creative performance.</w:t>
      </w:r>
    </w:p>
    <w:p w:rsidR="005B0066" w:rsidRDefault="005B0066" w:rsidP="00F5054C">
      <w:pPr>
        <w:pStyle w:val="ListParagraph"/>
        <w:numPr>
          <w:ilvl w:val="0"/>
          <w:numId w:val="52"/>
        </w:numPr>
      </w:pPr>
      <w:r>
        <w:t>Upon graduation, 75% of Miami students will have participated in a research or a similar experiential learning activity (e.g., fieldwork, field or clinical placement, service-learning, public or private sector engagement, or performances).</w:t>
      </w:r>
    </w:p>
    <w:p w:rsidR="005B0066" w:rsidRDefault="005B0066" w:rsidP="005B0066">
      <w:r>
        <w:t>Many university offices, centers, and programs provide support services to assist faculty, staff, and students in conduc</w:t>
      </w:r>
      <w:r w:rsidR="00AC6511">
        <w:t>ting research in an ethical mann</w:t>
      </w:r>
      <w:r>
        <w:t>er:</w:t>
      </w:r>
    </w:p>
    <w:p w:rsidR="00B836AC" w:rsidRPr="00B836AC" w:rsidRDefault="005B0066" w:rsidP="00F5054C">
      <w:pPr>
        <w:pStyle w:val="ListParagraph"/>
        <w:numPr>
          <w:ilvl w:val="0"/>
          <w:numId w:val="53"/>
        </w:numPr>
      </w:pPr>
      <w:r w:rsidRPr="00B836AC">
        <w:rPr>
          <w:b/>
        </w:rPr>
        <w:t>Office for the Advancement of Research and Scholarship (OARS)</w:t>
      </w:r>
      <w:r>
        <w:t xml:space="preserve"> aims to </w:t>
      </w:r>
      <w:r w:rsidRPr="00B836AC">
        <w:rPr>
          <w:rFonts w:ascii="Cambria" w:eastAsia="Times New Roman" w:hAnsi="Cambria" w:cs="Times New Roman"/>
          <w:color w:val="222222"/>
          <w:shd w:val="clear" w:color="auto" w:fill="FFFFFF"/>
        </w:rPr>
        <w:t>encourage, facilitate, a</w:t>
      </w:r>
      <w:r w:rsidR="003077E6">
        <w:rPr>
          <w:rFonts w:ascii="Cambria" w:eastAsia="Times New Roman" w:hAnsi="Cambria" w:cs="Times New Roman"/>
          <w:color w:val="222222"/>
          <w:shd w:val="clear" w:color="auto" w:fill="FFFFFF"/>
        </w:rPr>
        <w:t xml:space="preserve">nd support the Miami </w:t>
      </w:r>
      <w:r w:rsidRPr="00B836AC">
        <w:rPr>
          <w:rFonts w:ascii="Cambria" w:eastAsia="Times New Roman" w:hAnsi="Cambria" w:cs="Times New Roman"/>
          <w:color w:val="222222"/>
          <w:shd w:val="clear" w:color="auto" w:fill="FFFFFF"/>
        </w:rPr>
        <w:t>community in all forms of research, education, scholarly, creative, service, and outreach activities</w:t>
      </w:r>
      <w:r w:rsidR="00AC6511" w:rsidRPr="00B836AC">
        <w:rPr>
          <w:rFonts w:ascii="Cambria" w:eastAsia="Times New Roman" w:hAnsi="Cambria" w:cs="Times New Roman"/>
          <w:color w:val="222222"/>
          <w:shd w:val="clear" w:color="auto" w:fill="FFFFFF"/>
        </w:rPr>
        <w:t xml:space="preserve"> by overseeing all </w:t>
      </w:r>
      <w:r w:rsidRPr="00B836AC">
        <w:rPr>
          <w:rFonts w:ascii="Cambria" w:eastAsia="Times New Roman" w:hAnsi="Cambria" w:cs="Times New Roman"/>
          <w:color w:val="222222"/>
          <w:shd w:val="clear" w:color="auto" w:fill="FFFFFF"/>
        </w:rPr>
        <w:t>external funding requests, including proposal development</w:t>
      </w:r>
      <w:r w:rsidR="00AC6511" w:rsidRPr="00B836AC">
        <w:rPr>
          <w:rFonts w:ascii="Cambria" w:eastAsia="Times New Roman" w:hAnsi="Cambria" w:cs="Times New Roman"/>
          <w:color w:val="222222"/>
          <w:shd w:val="clear" w:color="auto" w:fill="FFFFFF"/>
        </w:rPr>
        <w:t xml:space="preserve">, and ensuring federal research compliance.  </w:t>
      </w:r>
    </w:p>
    <w:p w:rsidR="005B0066" w:rsidRDefault="004B7AEF" w:rsidP="00F5054C">
      <w:pPr>
        <w:pStyle w:val="ListParagraph"/>
        <w:numPr>
          <w:ilvl w:val="0"/>
          <w:numId w:val="53"/>
        </w:numPr>
      </w:pPr>
      <w:r w:rsidRPr="00B836AC">
        <w:rPr>
          <w:b/>
        </w:rPr>
        <w:t>Academic Integrity Coordinator</w:t>
      </w:r>
      <w:r w:rsidR="00233D25">
        <w:t xml:space="preserve"> (who</w:t>
      </w:r>
      <w:r>
        <w:t xml:space="preserve"> is housed within the </w:t>
      </w:r>
      <w:r w:rsidR="005B0066">
        <w:t>Center for the Enhancement of Teaching and Learning and University Assessment</w:t>
      </w:r>
      <w:r>
        <w:t xml:space="preserve">) </w:t>
      </w:r>
      <w:r w:rsidR="005B0066">
        <w:t>oversees changes in</w:t>
      </w:r>
      <w:r w:rsidR="003077E6">
        <w:t xml:space="preserve"> the</w:t>
      </w:r>
      <w:r w:rsidR="005B0066">
        <w:t xml:space="preserve"> </w:t>
      </w:r>
      <w:r w:rsidR="003077E6">
        <w:t>integrity policy and procedures</w:t>
      </w:r>
      <w:r w:rsidR="005B0066">
        <w:t xml:space="preserve"> and the academic integrity website. </w:t>
      </w:r>
    </w:p>
    <w:p w:rsidR="005B0066" w:rsidRDefault="005B0066" w:rsidP="00F5054C">
      <w:pPr>
        <w:pStyle w:val="ListParagraph"/>
        <w:numPr>
          <w:ilvl w:val="0"/>
          <w:numId w:val="53"/>
        </w:numPr>
      </w:pPr>
      <w:r w:rsidRPr="00A63452">
        <w:rPr>
          <w:b/>
        </w:rPr>
        <w:t>University Libraries</w:t>
      </w:r>
      <w:r w:rsidR="00CA79D4">
        <w:t xml:space="preserve"> has t</w:t>
      </w:r>
      <w:r>
        <w:t>he proper a</w:t>
      </w:r>
      <w:r w:rsidR="00CA79D4">
        <w:t>nd effective use of resources as part of its mission</w:t>
      </w:r>
      <w:r>
        <w:t xml:space="preserve"> and provides both in-class and one-on-one services to assist faculty and students in this pursuit.</w:t>
      </w:r>
    </w:p>
    <w:p w:rsidR="005B0066" w:rsidRDefault="005B0066" w:rsidP="00F5054C">
      <w:pPr>
        <w:pStyle w:val="ListParagraph"/>
        <w:numPr>
          <w:ilvl w:val="0"/>
          <w:numId w:val="53"/>
        </w:numPr>
      </w:pPr>
      <w:r w:rsidRPr="00A63452">
        <w:rPr>
          <w:b/>
        </w:rPr>
        <w:t>Howe Center for Writing Excellence</w:t>
      </w:r>
      <w:r w:rsidR="00A63452">
        <w:t xml:space="preserve"> assists faculty and students </w:t>
      </w:r>
      <w:r>
        <w:t>via in-class and one-on-one s</w:t>
      </w:r>
      <w:r w:rsidR="003077E6">
        <w:t xml:space="preserve">ervices to properly attribute </w:t>
      </w:r>
      <w:r>
        <w:t>sources in writing assignments.</w:t>
      </w:r>
    </w:p>
    <w:p w:rsidR="005B0066" w:rsidRDefault="00A63452" w:rsidP="00F5054C">
      <w:pPr>
        <w:pStyle w:val="ListParagraph"/>
        <w:numPr>
          <w:ilvl w:val="0"/>
          <w:numId w:val="53"/>
        </w:numPr>
      </w:pPr>
      <w:r w:rsidRPr="00A63452">
        <w:rPr>
          <w:b/>
        </w:rPr>
        <w:t>Research &amp; Inquiry Centers</w:t>
      </w:r>
      <w:r w:rsidR="00CA79D4">
        <w:t xml:space="preserve"> include the newly founded Office</w:t>
      </w:r>
      <w:r>
        <w:t xml:space="preserve"> for the Research of Undergraduates,</w:t>
      </w:r>
      <w:r w:rsidR="005B0066">
        <w:t xml:space="preserve"> the </w:t>
      </w:r>
      <w:r>
        <w:t xml:space="preserve">Western </w:t>
      </w:r>
      <w:r w:rsidR="005B0066">
        <w:t>Inquiry Center</w:t>
      </w:r>
      <w:r w:rsidR="00233D25">
        <w:t>,</w:t>
      </w:r>
      <w:r w:rsidR="005B0066">
        <w:t xml:space="preserve"> and the Center for Psychological Inquiry </w:t>
      </w:r>
      <w:r w:rsidR="00CA79D4">
        <w:t xml:space="preserve">which </w:t>
      </w:r>
      <w:r w:rsidR="005B0066">
        <w:t xml:space="preserve">provide activities and support that assist students with in-depth inquiry-based projects. </w:t>
      </w:r>
    </w:p>
    <w:p w:rsidR="005B0066" w:rsidRDefault="005B0066" w:rsidP="00F5054C">
      <w:pPr>
        <w:pStyle w:val="ListParagraph"/>
        <w:numPr>
          <w:ilvl w:val="0"/>
          <w:numId w:val="53"/>
        </w:numPr>
      </w:pPr>
      <w:r w:rsidRPr="00A63452">
        <w:rPr>
          <w:b/>
        </w:rPr>
        <w:t>Research Programs</w:t>
      </w:r>
      <w:r w:rsidR="00233D25">
        <w:t xml:space="preserve"> that</w:t>
      </w:r>
      <w:r>
        <w:t xml:space="preserve"> connec</w:t>
      </w:r>
      <w:r w:rsidR="00233D25">
        <w:t>t students with faculty</w:t>
      </w:r>
      <w:r>
        <w:t xml:space="preserve"> and provide a strong basis for developing effective research practices</w:t>
      </w:r>
      <w:r w:rsidR="00233D25">
        <w:t>, are available such as</w:t>
      </w:r>
    </w:p>
    <w:p w:rsidR="005B0066" w:rsidRDefault="005B0066" w:rsidP="00F5054C">
      <w:pPr>
        <w:pStyle w:val="ListParagraph"/>
        <w:numPr>
          <w:ilvl w:val="1"/>
          <w:numId w:val="53"/>
        </w:numPr>
      </w:pPr>
      <w:r>
        <w:t>Undergraduate Summer Scholars  (USS)</w:t>
      </w:r>
    </w:p>
    <w:p w:rsidR="005B0066" w:rsidRDefault="005B0066" w:rsidP="00F5054C">
      <w:pPr>
        <w:pStyle w:val="ListParagraph"/>
        <w:numPr>
          <w:ilvl w:val="1"/>
          <w:numId w:val="53"/>
        </w:numPr>
      </w:pPr>
      <w:r>
        <w:t>First Year Research Experience (FYRE)</w:t>
      </w:r>
      <w:r w:rsidR="003077E6">
        <w:t>.</w:t>
      </w:r>
    </w:p>
    <w:p w:rsidR="005B0066" w:rsidRDefault="005B0066" w:rsidP="00F5054C">
      <w:pPr>
        <w:pStyle w:val="ListParagraph"/>
        <w:numPr>
          <w:ilvl w:val="0"/>
          <w:numId w:val="53"/>
        </w:numPr>
        <w:ind w:left="810"/>
      </w:pPr>
      <w:r w:rsidRPr="00C503EB">
        <w:rPr>
          <w:b/>
        </w:rPr>
        <w:t>Office of Ethics and Stud</w:t>
      </w:r>
      <w:r w:rsidR="00C503EB" w:rsidRPr="00C503EB">
        <w:rPr>
          <w:b/>
        </w:rPr>
        <w:t>ent Conflict Resolution</w:t>
      </w:r>
      <w:r w:rsidR="00CA79D4">
        <w:t xml:space="preserve"> (OESCR) </w:t>
      </w:r>
      <w:r w:rsidRPr="00C503EB">
        <w:t>oversees transgressions regarding academic</w:t>
      </w:r>
      <w:r>
        <w:t xml:space="preserve"> integrity</w:t>
      </w:r>
      <w:r w:rsidR="00C503EB">
        <w:t xml:space="preserve"> and other student conduct violations</w:t>
      </w:r>
      <w:r>
        <w:t>.</w:t>
      </w:r>
    </w:p>
    <w:p w:rsidR="005B0066" w:rsidRDefault="009D5C30" w:rsidP="005B0066">
      <w:r>
        <w:t xml:space="preserve">Since its last re-accreditation, </w:t>
      </w:r>
      <w:r w:rsidR="005B0066" w:rsidRPr="00C503EB">
        <w:t>Miami assembled a team to advance academic integrity at the institution.  Relying on AAC&amp;U’s Core Leadership Consortium, the team submitted a set</w:t>
      </w:r>
      <w:r>
        <w:t xml:space="preserve"> of recommendations in February 2007 which has</w:t>
      </w:r>
      <w:r w:rsidR="005B0066" w:rsidRPr="00C503EB">
        <w:t xml:space="preserve"> guided key changes into the present, including the hiring of a new academic integrity coordinator, revisions of the academic integrity policies and procedures, incorporation of academic integrity as a core value in new student </w:t>
      </w:r>
      <w:r w:rsidR="005B0066" w:rsidRPr="00C503EB">
        <w:lastRenderedPageBreak/>
        <w:t>orientation and the first-year composition course, ins</w:t>
      </w:r>
      <w:r w:rsidR="00C503EB" w:rsidRPr="00C503EB">
        <w:t xml:space="preserve">titution of a </w:t>
      </w:r>
      <w:r w:rsidR="005B0066" w:rsidRPr="00C503EB">
        <w:t xml:space="preserve"> tutorial on academic integrity for first-year students, and enhanced training and resource materials for faculty.</w:t>
      </w:r>
      <w:r w:rsidR="005B0066">
        <w:t xml:space="preserve"> </w:t>
      </w:r>
    </w:p>
    <w:p w:rsidR="00FA3B63" w:rsidRDefault="003A5959" w:rsidP="005B0066">
      <w:r>
        <w:t xml:space="preserve">Miami has </w:t>
      </w:r>
      <w:r w:rsidR="00621B96">
        <w:t>an Institutional Review Board for the Use of Human Subjects that reviews all research involving human subjects in accordance with federal gui</w:t>
      </w:r>
      <w:r w:rsidR="00574204">
        <w:t>delines.  Before submission of protocols for IRB review and approval, f</w:t>
      </w:r>
      <w:r w:rsidR="00B836AC">
        <w:t>aculty must complete</w:t>
      </w:r>
      <w:r w:rsidR="00621B96">
        <w:t xml:space="preserve"> online ethical training for any research activity involving human subject</w:t>
      </w:r>
      <w:r w:rsidR="00574204">
        <w:t>s and participate in</w:t>
      </w:r>
      <w:r w:rsidR="00621B96">
        <w:t xml:space="preserve"> a face-to-face worksh</w:t>
      </w:r>
      <w:r w:rsidR="00574204">
        <w:t>op</w:t>
      </w:r>
      <w:r w:rsidR="00C80C9D">
        <w:t xml:space="preserve">.  Miami also has an Institutional Animal Care and Use Committee whose charge </w:t>
      </w:r>
      <w:r w:rsidR="00FA3B63">
        <w:t>is</w:t>
      </w:r>
      <w:r w:rsidR="00D85501">
        <w:t xml:space="preserve"> to</w:t>
      </w:r>
      <w:r w:rsidR="00FA3B63">
        <w:t xml:space="preserve"> review at least once every six months Miami’s program for humane care and use of animals a</w:t>
      </w:r>
      <w:r w:rsidR="00B836AC">
        <w:t>s well as the animal facilities; prepare reports; address concerns;</w:t>
      </w:r>
      <w:r w:rsidR="00FA3B63">
        <w:t xml:space="preserve"> make recommendations, as well as review and approve all activities related to the care and use of animals.</w:t>
      </w:r>
      <w:r w:rsidR="00B12EFB">
        <w:t xml:space="preserve">  All faculty, staff, and students who conduct research supported by the National Institutes of Health or the National Science Foundation are required to complete a minimum of seven hours of face-to-face training on Responsible Conduct of Research.</w:t>
      </w:r>
    </w:p>
    <w:p w:rsidR="005B0066" w:rsidRDefault="005B0066" w:rsidP="005B0066">
      <w:r>
        <w:t xml:space="preserve">Students are offered guidance on the ethical uses of information via numerous venues. </w:t>
      </w:r>
      <w:r w:rsidR="00B836AC">
        <w:t xml:space="preserve"> An academic integrity website </w:t>
      </w:r>
      <w:r>
        <w:t>provides information on the nature of academic integrity</w:t>
      </w:r>
      <w:r w:rsidR="008F6EE6">
        <w:t>,</w:t>
      </w:r>
      <w:r>
        <w:t xml:space="preserve"> suggestions on how to avoid actions of dishonesty, and links to support services across campus.  Integrity policies are codified and promoted to students and faculty in</w:t>
      </w:r>
      <w:r w:rsidR="009D5C30">
        <w:t xml:space="preserve"> the following sections of the student h</w:t>
      </w:r>
      <w:r>
        <w:t>andbook and MUPIM</w:t>
      </w:r>
      <w:r w:rsidR="00C503EB">
        <w:t>.</w:t>
      </w:r>
    </w:p>
    <w:p w:rsidR="005B0066" w:rsidRDefault="005B0066" w:rsidP="00F5054C">
      <w:pPr>
        <w:pStyle w:val="ListParagraph"/>
        <w:numPr>
          <w:ilvl w:val="0"/>
          <w:numId w:val="54"/>
        </w:numPr>
      </w:pPr>
      <w:r>
        <w:t>MUPIM 15.9: Misconduct in Research</w:t>
      </w:r>
    </w:p>
    <w:p w:rsidR="005B0066" w:rsidRDefault="005B0066" w:rsidP="00F5054C">
      <w:pPr>
        <w:pStyle w:val="ListParagraph"/>
        <w:numPr>
          <w:ilvl w:val="0"/>
          <w:numId w:val="54"/>
        </w:numPr>
      </w:pPr>
      <w:r>
        <w:t>MUPIM 19.2</w:t>
      </w:r>
      <w:r w:rsidR="00AC24CC">
        <w:t>, Student Handbook, chapter 6 and Graduate Handbook, Part II, section 4</w:t>
      </w:r>
      <w:r>
        <w:t>: Responsible Use of Computing Resources</w:t>
      </w:r>
    </w:p>
    <w:p w:rsidR="005B0066" w:rsidRDefault="005B0066" w:rsidP="00F5054C">
      <w:pPr>
        <w:pStyle w:val="ListParagraph"/>
        <w:numPr>
          <w:ilvl w:val="0"/>
          <w:numId w:val="54"/>
        </w:numPr>
      </w:pPr>
      <w:r>
        <w:t>MUPIM 19.4: Unauthorized Use of Peer-To-Peer Networks</w:t>
      </w:r>
    </w:p>
    <w:p w:rsidR="005B0066" w:rsidRDefault="0000412F" w:rsidP="00F5054C">
      <w:pPr>
        <w:pStyle w:val="ListParagraph"/>
        <w:numPr>
          <w:ilvl w:val="0"/>
          <w:numId w:val="54"/>
        </w:numPr>
      </w:pPr>
      <w:r>
        <w:t xml:space="preserve">Student </w:t>
      </w:r>
      <w:r w:rsidR="005B0066">
        <w:t>Handbook Chapter 5: Academic Integrity</w:t>
      </w:r>
    </w:p>
    <w:p w:rsidR="0000412F" w:rsidRDefault="0000412F" w:rsidP="00F5054C">
      <w:pPr>
        <w:pStyle w:val="ListParagraph"/>
        <w:numPr>
          <w:ilvl w:val="0"/>
          <w:numId w:val="54"/>
        </w:numPr>
      </w:pPr>
      <w:r>
        <w:t>Graduate Handbook, Part I, section 5: Academic and Research/Creative Activity Integrity</w:t>
      </w:r>
    </w:p>
    <w:p w:rsidR="00DD5966" w:rsidRDefault="00F809D9" w:rsidP="005B0066">
      <w:r>
        <w:t>A step-by-step manual</w:t>
      </w:r>
      <w:r w:rsidR="00BC3EF4">
        <w:t xml:space="preserve"> for faculty</w:t>
      </w:r>
      <w:r>
        <w:t xml:space="preserve"> for adjudicating academic dishonesty, along with templates for all letters a faculty or administrator may need to write, are</w:t>
      </w:r>
      <w:r w:rsidR="009D5C30">
        <w:t xml:space="preserve"> available via the academic i</w:t>
      </w:r>
      <w:r w:rsidR="00BC3EF4">
        <w:t xml:space="preserve">ntegrity website. </w:t>
      </w:r>
      <w:r w:rsidR="00B359A5">
        <w:t xml:space="preserve"> </w:t>
      </w:r>
      <w:r w:rsidR="005B0066">
        <w:t>Workshops regarding integrity, including understanding policies, avoiding plagiarism, and properly attributing sources a</w:t>
      </w:r>
      <w:r w:rsidR="009D5C30">
        <w:t>re conducted by the University Libraries, Howe W</w:t>
      </w:r>
      <w:r w:rsidR="005B0066">
        <w:t xml:space="preserve">riting Center, OARS, and CELTUA each year. </w:t>
      </w:r>
      <w:r w:rsidR="00B359A5">
        <w:t xml:space="preserve"> </w:t>
      </w:r>
    </w:p>
    <w:p w:rsidR="005B0066" w:rsidRDefault="009D5C30" w:rsidP="005B0066">
      <w:r>
        <w:t>Additionally, the l</w:t>
      </w:r>
      <w:r w:rsidR="005B0066">
        <w:t xml:space="preserve">ibraries regularly offer in-class instruction on appropriate information seeking habits, source use, and source quality. Citing and ethics are </w:t>
      </w:r>
      <w:r w:rsidR="00E7216D">
        <w:t>a foundational category of the l</w:t>
      </w:r>
      <w:r w:rsidR="005B0066">
        <w:t>ibraries’ learning outcomes for students.  Online instruction o</w:t>
      </w:r>
      <w:r w:rsidR="008F6EE6">
        <w:t xml:space="preserve">ccurs primarily via </w:t>
      </w:r>
      <w:r w:rsidR="008F6EE6" w:rsidRPr="00E7216D">
        <w:rPr>
          <w:i/>
        </w:rPr>
        <w:t>mIntegrity</w:t>
      </w:r>
      <w:r w:rsidR="00E7216D">
        <w:t>,</w:t>
      </w:r>
      <w:r w:rsidR="00574204">
        <w:t xml:space="preserve"> </w:t>
      </w:r>
      <w:r w:rsidR="005B0066">
        <w:t>an in-depth tutorial on topics of academic integrity and information literacy.  It also features a quiz that students must pas</w:t>
      </w:r>
      <w:r w:rsidR="008F6EE6">
        <w:t>s</w:t>
      </w:r>
      <w:r w:rsidR="005B0066">
        <w:t xml:space="preserve"> in order to receive a certificate of completion.  Over 11,100 students have successfully completed </w:t>
      </w:r>
      <w:r w:rsidR="005B0066" w:rsidRPr="00574204">
        <w:rPr>
          <w:i/>
        </w:rPr>
        <w:t>mIntegrity</w:t>
      </w:r>
      <w:r w:rsidR="005B0066">
        <w:t xml:space="preserve"> since its inception in 2007, and a complete revision of the tutorial is currently in process.</w:t>
      </w:r>
    </w:p>
    <w:p w:rsidR="005B0066" w:rsidRDefault="00DD5966" w:rsidP="005B0066">
      <w:r>
        <w:t>Academic integrity modules play</w:t>
      </w:r>
      <w:r w:rsidR="005B0066">
        <w:t xml:space="preserve"> key roles in many introductory courses, including the</w:t>
      </w:r>
      <w:r>
        <w:t xml:space="preserve"> newly developed</w:t>
      </w:r>
      <w:r w:rsidR="008F6EE6">
        <w:t xml:space="preserve"> FYE</w:t>
      </w:r>
      <w:r>
        <w:t xml:space="preserve"> course (UNV 101)</w:t>
      </w:r>
      <w:r w:rsidR="005B0066">
        <w:t xml:space="preserve"> and EDL 151, a course for international students on</w:t>
      </w:r>
      <w:r w:rsidR="00E7216D">
        <w:t xml:space="preserve"> the</w:t>
      </w:r>
      <w:r w:rsidR="005B0066">
        <w:t xml:space="preserve"> fundamentals of the American university. Integrity is also a key topic of discussion at new faculty orient</w:t>
      </w:r>
      <w:r>
        <w:t>ation and all student</w:t>
      </w:r>
      <w:r w:rsidR="005B0066">
        <w:t xml:space="preserve"> orientation</w:t>
      </w:r>
      <w:r>
        <w:t>s</w:t>
      </w:r>
      <w:r w:rsidR="005B0066">
        <w:t xml:space="preserve"> each year.  Student rights and resp</w:t>
      </w:r>
      <w:r w:rsidR="00E7216D">
        <w:t>onsibilities in context of the student c</w:t>
      </w:r>
      <w:r w:rsidR="005B0066">
        <w:t>ode</w:t>
      </w:r>
      <w:r w:rsidR="00E7216D">
        <w:t xml:space="preserve"> of conduct</w:t>
      </w:r>
      <w:r w:rsidR="005B0066">
        <w:t xml:space="preserve"> are also discussed at summer orientation for incoming students. Finally, </w:t>
      </w:r>
      <w:r w:rsidR="00AF1A05">
        <w:t>“</w:t>
      </w:r>
      <w:r w:rsidR="005B0066">
        <w:t>TurnItIn</w:t>
      </w:r>
      <w:r w:rsidR="00AF1A05">
        <w:t>”</w:t>
      </w:r>
      <w:r w:rsidR="005B0066">
        <w:t xml:space="preserve"> is embedded within our learning management system, and it </w:t>
      </w:r>
      <w:r>
        <w:t>is used by faculty not only to</w:t>
      </w:r>
      <w:r w:rsidR="005B0066">
        <w:t xml:space="preserve"> identify instances</w:t>
      </w:r>
      <w:r>
        <w:t xml:space="preserve"> of academic misconduct, but also to </w:t>
      </w:r>
      <w:r w:rsidR="00E7216D">
        <w:t xml:space="preserve">help students </w:t>
      </w:r>
      <w:r w:rsidR="005B0066">
        <w:t>avoid situations which may be interpreted as misconduct.</w:t>
      </w:r>
    </w:p>
    <w:p w:rsidR="005B0066" w:rsidRDefault="005B0066" w:rsidP="005B0066">
      <w:r>
        <w:t>Miami aims for continuous improvement in this area, and new initiatives d</w:t>
      </w:r>
      <w:r w:rsidR="004C0DDE">
        <w:t>emonstrate this commitment. In f</w:t>
      </w:r>
      <w:r>
        <w:t xml:space="preserve">all 2014, the </w:t>
      </w:r>
      <w:r w:rsidR="00D85501">
        <w:t>Office</w:t>
      </w:r>
      <w:r w:rsidR="00B12EFB">
        <w:t xml:space="preserve"> of Research for</w:t>
      </w:r>
      <w:r w:rsidR="004C0DDE">
        <w:t xml:space="preserve"> Undergraduates</w:t>
      </w:r>
      <w:r w:rsidR="00277624">
        <w:t xml:space="preserve"> opened its location in King Library, featuring new facilities,</w:t>
      </w:r>
      <w:r w:rsidR="00057519">
        <w:t xml:space="preserve"> </w:t>
      </w:r>
      <w:r w:rsidR="004C0DDE">
        <w:t xml:space="preserve">a new faculty director, </w:t>
      </w:r>
      <w:r w:rsidRPr="004C0DDE">
        <w:t xml:space="preserve">instructional opportunities, and a space that allows for creative and transformative research </w:t>
      </w:r>
      <w:r w:rsidRPr="004C0DDE">
        <w:lastRenderedPageBreak/>
        <w:t xml:space="preserve">activities. Additionally, recent changes to the </w:t>
      </w:r>
      <w:r w:rsidR="00057519">
        <w:t>Global Miami Plan</w:t>
      </w:r>
      <w:r w:rsidRPr="004C0DDE">
        <w:t xml:space="preserve"> bring information literacy to the forefront as one of</w:t>
      </w:r>
      <w:r w:rsidR="004C0DDE" w:rsidRPr="004C0DDE">
        <w:t xml:space="preserve"> the key outcomes of the plan. Finally, the academic integrity policy was recently revised</w:t>
      </w:r>
      <w:r w:rsidRPr="004C0DDE">
        <w:t xml:space="preserve"> to increase clarity and streamline processes.</w:t>
      </w:r>
      <w:r>
        <w:t xml:space="preserve"> </w:t>
      </w:r>
    </w:p>
    <w:p w:rsidR="005B0066" w:rsidRDefault="00326B9D" w:rsidP="005B0066">
      <w:r>
        <w:t xml:space="preserve">Steps </w:t>
      </w:r>
      <w:r w:rsidR="005B0066">
        <w:t xml:space="preserve">are </w:t>
      </w:r>
      <w:r w:rsidR="00AF1A05">
        <w:t>being taken to create a more involved approach</w:t>
      </w:r>
      <w:r w:rsidR="005B0066">
        <w:t xml:space="preserve"> that includes course and ass</w:t>
      </w:r>
      <w:r w:rsidR="00057519">
        <w:t>ignment development and</w:t>
      </w:r>
      <w:r w:rsidR="005B0066">
        <w:t xml:space="preserve"> </w:t>
      </w:r>
      <w:r>
        <w:t xml:space="preserve">greater </w:t>
      </w:r>
      <w:r w:rsidR="005B0066">
        <w:t xml:space="preserve">support for appropriate source usage and academic integrity.  Next, assessment of information literacy does regularly occur, but is not systematic. Courses that librarians visit may vary </w:t>
      </w:r>
      <w:r>
        <w:t xml:space="preserve">between semesters, and Miami has </w:t>
      </w:r>
      <w:r w:rsidR="005B0066">
        <w:t>no required information literacy course, as it is better to foster these skills throughout the curriculum rather than impart</w:t>
      </w:r>
      <w:r w:rsidR="00057519">
        <w:t xml:space="preserve"> them</w:t>
      </w:r>
      <w:r w:rsidR="005B0066">
        <w:t xml:space="preserve"> in a single class outside the context of other academic pursuits. The new change to the </w:t>
      </w:r>
      <w:r w:rsidR="00057519">
        <w:t xml:space="preserve">Global </w:t>
      </w:r>
      <w:r w:rsidR="005B0066">
        <w:t>Miami Plan, however, will allow for systematic assessment</w:t>
      </w:r>
      <w:r>
        <w:t xml:space="preserve"> of this and other </w:t>
      </w:r>
      <w:r w:rsidR="00774410">
        <w:t xml:space="preserve">related </w:t>
      </w:r>
      <w:r>
        <w:t>competencies</w:t>
      </w:r>
      <w:r w:rsidR="00774410">
        <w:t>, such as inquiry and critical thinking</w:t>
      </w:r>
      <w:r w:rsidR="005B0066">
        <w:t xml:space="preserve">. </w:t>
      </w:r>
    </w:p>
    <w:p w:rsidR="005B0066" w:rsidRDefault="005B0066" w:rsidP="005B0066">
      <w:pPr>
        <w:pStyle w:val="Heading2"/>
      </w:pPr>
      <w:r>
        <w:t>Sources</w:t>
      </w:r>
    </w:p>
    <w:p w:rsidR="005B0066" w:rsidRDefault="005B0066" w:rsidP="00F5054C">
      <w:pPr>
        <w:pStyle w:val="NoSpacing"/>
        <w:numPr>
          <w:ilvl w:val="0"/>
          <w:numId w:val="55"/>
        </w:numPr>
        <w:tabs>
          <w:tab w:val="left" w:pos="432"/>
        </w:tabs>
        <w:ind w:left="432" w:hanging="432"/>
        <w:rPr>
          <w:sz w:val="20"/>
          <w:szCs w:val="20"/>
        </w:rPr>
      </w:pPr>
      <w:r>
        <w:rPr>
          <w:sz w:val="20"/>
          <w:szCs w:val="20"/>
        </w:rPr>
        <w:t>Responsible conduct in research policies and procedures (IRB, Human Subjects, Animal Care)</w:t>
      </w:r>
    </w:p>
    <w:p w:rsidR="00514991" w:rsidRDefault="005B0066" w:rsidP="00F5054C">
      <w:pPr>
        <w:pStyle w:val="NoSpacing"/>
        <w:numPr>
          <w:ilvl w:val="0"/>
          <w:numId w:val="55"/>
        </w:numPr>
        <w:tabs>
          <w:tab w:val="left" w:pos="432"/>
        </w:tabs>
        <w:ind w:left="432" w:hanging="432"/>
        <w:rPr>
          <w:sz w:val="20"/>
          <w:szCs w:val="20"/>
        </w:rPr>
      </w:pPr>
      <w:r>
        <w:rPr>
          <w:sz w:val="20"/>
          <w:szCs w:val="20"/>
        </w:rPr>
        <w:t>Academic integ</w:t>
      </w:r>
      <w:r w:rsidR="00514991">
        <w:rPr>
          <w:sz w:val="20"/>
          <w:szCs w:val="20"/>
        </w:rPr>
        <w:t>rity policy in Student Handbook</w:t>
      </w:r>
    </w:p>
    <w:p w:rsidR="005B0066" w:rsidRPr="00514991" w:rsidRDefault="005B0066" w:rsidP="00F5054C">
      <w:pPr>
        <w:pStyle w:val="NoSpacing"/>
        <w:numPr>
          <w:ilvl w:val="0"/>
          <w:numId w:val="55"/>
        </w:numPr>
        <w:tabs>
          <w:tab w:val="left" w:pos="432"/>
        </w:tabs>
        <w:ind w:left="432" w:hanging="432"/>
        <w:rPr>
          <w:sz w:val="20"/>
          <w:szCs w:val="20"/>
        </w:rPr>
      </w:pPr>
      <w:r w:rsidRPr="00514991">
        <w:rPr>
          <w:sz w:val="20"/>
          <w:szCs w:val="20"/>
        </w:rPr>
        <w:t xml:space="preserve">Academic Integrity Report -- </w:t>
      </w:r>
      <w:r>
        <w:t>http://www.miamioh.edu/_files/documents/about-miami/provost/reports/archive/Academic_Integrity_Implementation.pdf</w:t>
      </w:r>
    </w:p>
    <w:p w:rsidR="0000412F" w:rsidRDefault="006B3FF3" w:rsidP="00F5054C">
      <w:pPr>
        <w:pStyle w:val="NoSpacing"/>
        <w:numPr>
          <w:ilvl w:val="0"/>
          <w:numId w:val="55"/>
        </w:numPr>
        <w:tabs>
          <w:tab w:val="left" w:pos="432"/>
        </w:tabs>
        <w:ind w:left="432" w:hanging="432"/>
        <w:rPr>
          <w:rStyle w:val="apple-converted-space"/>
          <w:sz w:val="20"/>
          <w:szCs w:val="20"/>
        </w:rPr>
      </w:pPr>
      <w:r>
        <w:fldChar w:fldCharType="begin"/>
      </w:r>
      <w:r>
        <w:instrText xml:space="preserve"> HYPERLINK "https://www.muohio.edu/_files/documents/integrity/Procedures_for_Addressing_Cases_of_Academic_Dishonesty.pdf" \t "_blank" </w:instrText>
      </w:r>
      <w:r>
        <w:fldChar w:fldCharType="separate"/>
      </w:r>
      <w:r w:rsidR="00F809D9">
        <w:rPr>
          <w:rStyle w:val="Hyperlink"/>
          <w:rFonts w:ascii="Helvetica" w:hAnsi="Helvetica" w:cs="Helvetica"/>
          <w:color w:val="073950"/>
          <w:sz w:val="18"/>
          <w:szCs w:val="18"/>
        </w:rPr>
        <w:t>Procedures for Addressing Cases of Academic Dishonesty</w:t>
      </w:r>
      <w:r>
        <w:rPr>
          <w:rStyle w:val="Hyperlink"/>
          <w:rFonts w:ascii="Helvetica" w:hAnsi="Helvetica" w:cs="Helvetica"/>
          <w:color w:val="073950"/>
          <w:sz w:val="18"/>
          <w:szCs w:val="18"/>
        </w:rPr>
        <w:fldChar w:fldCharType="end"/>
      </w:r>
      <w:r w:rsidR="00F809D9">
        <w:rPr>
          <w:rStyle w:val="apple-converted-space"/>
          <w:rFonts w:ascii="Helvetica" w:hAnsi="Helvetica" w:cs="Helvetica"/>
          <w:color w:val="222222"/>
          <w:sz w:val="18"/>
          <w:szCs w:val="18"/>
        </w:rPr>
        <w:t>  on Academic Integrity website</w:t>
      </w:r>
    </w:p>
    <w:p w:rsidR="00B359A5" w:rsidRPr="0000412F" w:rsidRDefault="00B359A5" w:rsidP="00F5054C">
      <w:pPr>
        <w:pStyle w:val="NoSpacing"/>
        <w:numPr>
          <w:ilvl w:val="0"/>
          <w:numId w:val="55"/>
        </w:numPr>
        <w:tabs>
          <w:tab w:val="left" w:pos="432"/>
        </w:tabs>
        <w:ind w:left="432" w:hanging="432"/>
        <w:rPr>
          <w:sz w:val="20"/>
          <w:szCs w:val="20"/>
        </w:rPr>
      </w:pPr>
      <w:r w:rsidRPr="0000412F">
        <w:rPr>
          <w:rStyle w:val="apple-converted-space"/>
          <w:rFonts w:ascii="Helvetica" w:hAnsi="Helvetica" w:cs="Helvetica"/>
          <w:color w:val="222222"/>
          <w:sz w:val="18"/>
          <w:szCs w:val="18"/>
        </w:rPr>
        <w:t>Templates of letters for faculty and administrators dealing with academic dishonesty: https://www.muohio.edu/integrity/faculty-resources/</w:t>
      </w:r>
    </w:p>
    <w:p w:rsidR="005B0066" w:rsidRDefault="005B0066" w:rsidP="00F5054C">
      <w:pPr>
        <w:pStyle w:val="NoSpacing"/>
        <w:numPr>
          <w:ilvl w:val="0"/>
          <w:numId w:val="55"/>
        </w:numPr>
        <w:tabs>
          <w:tab w:val="left" w:pos="432"/>
        </w:tabs>
        <w:ind w:left="432" w:hanging="432"/>
        <w:rPr>
          <w:sz w:val="20"/>
          <w:szCs w:val="20"/>
        </w:rPr>
      </w:pPr>
      <w:r>
        <w:rPr>
          <w:sz w:val="20"/>
          <w:szCs w:val="20"/>
        </w:rPr>
        <w:t>Academic integrity violations report</w:t>
      </w:r>
      <w:r w:rsidR="00514991">
        <w:rPr>
          <w:sz w:val="20"/>
          <w:szCs w:val="20"/>
        </w:rPr>
        <w:t>s</w:t>
      </w:r>
    </w:p>
    <w:p w:rsidR="00FA3B63" w:rsidRDefault="00C80C9D" w:rsidP="00F5054C">
      <w:pPr>
        <w:pStyle w:val="NoSpacing"/>
        <w:numPr>
          <w:ilvl w:val="0"/>
          <w:numId w:val="55"/>
        </w:numPr>
        <w:tabs>
          <w:tab w:val="left" w:pos="432"/>
        </w:tabs>
        <w:ind w:left="432" w:hanging="432"/>
        <w:rPr>
          <w:sz w:val="20"/>
          <w:szCs w:val="20"/>
        </w:rPr>
      </w:pPr>
      <w:r w:rsidRPr="00FA3B63">
        <w:rPr>
          <w:sz w:val="20"/>
          <w:szCs w:val="20"/>
        </w:rPr>
        <w:t xml:space="preserve">IRB website: </w:t>
      </w:r>
      <w:hyperlink r:id="rId23" w:history="1">
        <w:r w:rsidR="00FA3B63" w:rsidRPr="00FA3B63">
          <w:rPr>
            <w:rStyle w:val="Hyperlink"/>
            <w:sz w:val="20"/>
            <w:szCs w:val="20"/>
          </w:rPr>
          <w:t>http://www.units.miamioh.edu/compliance/irb/</w:t>
        </w:r>
      </w:hyperlink>
    </w:p>
    <w:p w:rsidR="00FA3B63" w:rsidRPr="00FA3B63" w:rsidRDefault="00FA3B63" w:rsidP="00F5054C">
      <w:pPr>
        <w:pStyle w:val="NoSpacing"/>
        <w:numPr>
          <w:ilvl w:val="0"/>
          <w:numId w:val="55"/>
        </w:numPr>
        <w:tabs>
          <w:tab w:val="left" w:pos="432"/>
        </w:tabs>
        <w:ind w:left="432" w:hanging="432"/>
        <w:rPr>
          <w:sz w:val="20"/>
          <w:szCs w:val="20"/>
        </w:rPr>
      </w:pPr>
      <w:r w:rsidRPr="00FA3B63">
        <w:rPr>
          <w:sz w:val="20"/>
          <w:szCs w:val="20"/>
        </w:rPr>
        <w:t>Institutional Animal Care and Use Committee: http://www.units.miamioh.edu/compliance/iacuc/ac_01intro.htm</w:t>
      </w:r>
    </w:p>
    <w:p w:rsidR="005B0066" w:rsidRPr="003A5959" w:rsidRDefault="005B0066" w:rsidP="00F5054C">
      <w:pPr>
        <w:pStyle w:val="NoSpacing"/>
        <w:numPr>
          <w:ilvl w:val="0"/>
          <w:numId w:val="55"/>
        </w:numPr>
        <w:tabs>
          <w:tab w:val="left" w:pos="432"/>
        </w:tabs>
        <w:ind w:left="432" w:hanging="432"/>
        <w:rPr>
          <w:sz w:val="20"/>
          <w:szCs w:val="20"/>
        </w:rPr>
      </w:pPr>
      <w:r w:rsidRPr="003A5959">
        <w:rPr>
          <w:sz w:val="20"/>
          <w:szCs w:val="20"/>
        </w:rPr>
        <w:t xml:space="preserve">Responsible Use of Computing </w:t>
      </w:r>
      <w:hyperlink r:id="rId24" w:history="1">
        <w:r w:rsidRPr="003A5959">
          <w:rPr>
            <w:rStyle w:val="Hyperlink"/>
            <w:sz w:val="20"/>
            <w:szCs w:val="20"/>
          </w:rPr>
          <w:t>[https://ithelp.muohio.edu/selfservice/rassp/KPListing/view2.jsp?k2dockey=040972654004831@kpol17&amp;showbuttons=true&amp;dontlog=false]</w:t>
        </w:r>
      </w:hyperlink>
    </w:p>
    <w:p w:rsidR="005B0066" w:rsidRDefault="005B0066" w:rsidP="00F5054C">
      <w:pPr>
        <w:pStyle w:val="NoSpacing"/>
        <w:numPr>
          <w:ilvl w:val="0"/>
          <w:numId w:val="55"/>
        </w:numPr>
        <w:tabs>
          <w:tab w:val="left" w:pos="432"/>
        </w:tabs>
        <w:ind w:left="432" w:hanging="432"/>
        <w:rPr>
          <w:sz w:val="20"/>
          <w:szCs w:val="20"/>
        </w:rPr>
      </w:pPr>
      <w:r>
        <w:rPr>
          <w:sz w:val="20"/>
          <w:szCs w:val="20"/>
        </w:rPr>
        <w:t>Information about unauthorized peer to peer file sharing [http://www.miami.muohio.edu/about-miami/publications-and-policies/student-consumer-info/file-sharing.html]</w:t>
      </w:r>
    </w:p>
    <w:p w:rsidR="005B0066" w:rsidRDefault="005B0066" w:rsidP="00F5054C">
      <w:pPr>
        <w:pStyle w:val="NoSpacing"/>
        <w:numPr>
          <w:ilvl w:val="0"/>
          <w:numId w:val="55"/>
        </w:numPr>
        <w:tabs>
          <w:tab w:val="left" w:pos="432"/>
        </w:tabs>
        <w:ind w:left="432" w:hanging="432"/>
        <w:rPr>
          <w:sz w:val="20"/>
          <w:szCs w:val="20"/>
        </w:rPr>
      </w:pPr>
      <w:r>
        <w:rPr>
          <w:sz w:val="20"/>
          <w:szCs w:val="20"/>
        </w:rPr>
        <w:t>Copyright Infringement Policy [http://www.units.muohio.edu/secretary/documents/2010-2011StudentHandbook.pdf#page=18]</w:t>
      </w:r>
    </w:p>
    <w:p w:rsidR="005B0066" w:rsidRDefault="005B0066" w:rsidP="00F5054C">
      <w:pPr>
        <w:pStyle w:val="NoSpacing"/>
        <w:numPr>
          <w:ilvl w:val="0"/>
          <w:numId w:val="55"/>
        </w:numPr>
        <w:tabs>
          <w:tab w:val="left" w:pos="432"/>
        </w:tabs>
        <w:ind w:left="432" w:hanging="432"/>
        <w:rPr>
          <w:sz w:val="20"/>
          <w:szCs w:val="20"/>
        </w:rPr>
      </w:pPr>
      <w:r>
        <w:rPr>
          <w:sz w:val="20"/>
          <w:szCs w:val="20"/>
        </w:rPr>
        <w:t>Misconduct in Research Policy in MUPIM</w:t>
      </w:r>
    </w:p>
    <w:p w:rsidR="005227FB" w:rsidRDefault="005227FB" w:rsidP="00F5054C">
      <w:pPr>
        <w:pStyle w:val="NoSpacing"/>
        <w:numPr>
          <w:ilvl w:val="0"/>
          <w:numId w:val="55"/>
        </w:numPr>
        <w:tabs>
          <w:tab w:val="left" w:pos="432"/>
        </w:tabs>
        <w:ind w:left="432" w:hanging="432"/>
        <w:rPr>
          <w:sz w:val="20"/>
          <w:szCs w:val="20"/>
        </w:rPr>
      </w:pPr>
      <w:r>
        <w:rPr>
          <w:sz w:val="20"/>
          <w:szCs w:val="20"/>
        </w:rPr>
        <w:t>MUPIM 15.9, 19.2, 19.4</w:t>
      </w:r>
    </w:p>
    <w:p w:rsidR="005227FB" w:rsidRDefault="005227FB" w:rsidP="00F5054C">
      <w:pPr>
        <w:pStyle w:val="NoSpacing"/>
        <w:numPr>
          <w:ilvl w:val="0"/>
          <w:numId w:val="55"/>
        </w:numPr>
        <w:tabs>
          <w:tab w:val="left" w:pos="432"/>
        </w:tabs>
        <w:ind w:left="432" w:hanging="432"/>
        <w:rPr>
          <w:sz w:val="20"/>
          <w:szCs w:val="20"/>
        </w:rPr>
      </w:pPr>
      <w:r>
        <w:rPr>
          <w:sz w:val="20"/>
          <w:szCs w:val="20"/>
        </w:rPr>
        <w:t>Student Handbook, chapter 5</w:t>
      </w:r>
    </w:p>
    <w:p w:rsidR="005227FB" w:rsidRDefault="005227FB" w:rsidP="00F5054C">
      <w:pPr>
        <w:pStyle w:val="NoSpacing"/>
        <w:numPr>
          <w:ilvl w:val="0"/>
          <w:numId w:val="55"/>
        </w:numPr>
        <w:tabs>
          <w:tab w:val="left" w:pos="432"/>
        </w:tabs>
        <w:ind w:left="432" w:hanging="432"/>
        <w:rPr>
          <w:sz w:val="20"/>
          <w:szCs w:val="20"/>
        </w:rPr>
      </w:pPr>
      <w:r>
        <w:rPr>
          <w:sz w:val="20"/>
          <w:szCs w:val="20"/>
        </w:rPr>
        <w:t>Graduate Handbook, Part 1, section 5</w:t>
      </w:r>
    </w:p>
    <w:p w:rsidR="005227FB" w:rsidRDefault="005227FB" w:rsidP="00F5054C">
      <w:pPr>
        <w:pStyle w:val="NoSpacing"/>
        <w:numPr>
          <w:ilvl w:val="0"/>
          <w:numId w:val="55"/>
        </w:numPr>
        <w:tabs>
          <w:tab w:val="left" w:pos="432"/>
        </w:tabs>
        <w:ind w:left="432" w:hanging="432"/>
        <w:rPr>
          <w:sz w:val="20"/>
          <w:szCs w:val="20"/>
        </w:rPr>
      </w:pPr>
      <w:r>
        <w:rPr>
          <w:sz w:val="20"/>
          <w:szCs w:val="20"/>
        </w:rPr>
        <w:t>USS Program description (OARS website)</w:t>
      </w:r>
    </w:p>
    <w:p w:rsidR="005227FB" w:rsidRDefault="005227FB" w:rsidP="00F5054C">
      <w:pPr>
        <w:pStyle w:val="NoSpacing"/>
        <w:numPr>
          <w:ilvl w:val="0"/>
          <w:numId w:val="55"/>
        </w:numPr>
        <w:tabs>
          <w:tab w:val="left" w:pos="432"/>
        </w:tabs>
        <w:ind w:left="432" w:hanging="432"/>
        <w:rPr>
          <w:sz w:val="20"/>
          <w:szCs w:val="20"/>
        </w:rPr>
      </w:pPr>
      <w:r>
        <w:rPr>
          <w:sz w:val="20"/>
          <w:szCs w:val="20"/>
        </w:rPr>
        <w:t>FYRE Program description (OARS website)</w:t>
      </w:r>
    </w:p>
    <w:p w:rsidR="005227FB" w:rsidRDefault="005227FB" w:rsidP="00F5054C">
      <w:pPr>
        <w:pStyle w:val="NoSpacing"/>
        <w:numPr>
          <w:ilvl w:val="0"/>
          <w:numId w:val="55"/>
        </w:numPr>
        <w:tabs>
          <w:tab w:val="left" w:pos="432"/>
        </w:tabs>
        <w:ind w:left="432" w:hanging="432"/>
        <w:rPr>
          <w:sz w:val="20"/>
          <w:szCs w:val="20"/>
        </w:rPr>
      </w:pPr>
      <w:r>
        <w:rPr>
          <w:sz w:val="20"/>
          <w:szCs w:val="20"/>
        </w:rPr>
        <w:t>Howe Writing Center annual reports</w:t>
      </w:r>
    </w:p>
    <w:p w:rsidR="005B0066" w:rsidRDefault="005B0066" w:rsidP="00F5054C">
      <w:pPr>
        <w:pStyle w:val="NoSpacing"/>
        <w:numPr>
          <w:ilvl w:val="0"/>
          <w:numId w:val="55"/>
        </w:numPr>
        <w:tabs>
          <w:tab w:val="left" w:pos="432"/>
        </w:tabs>
        <w:ind w:left="432" w:hanging="432"/>
        <w:rPr>
          <w:sz w:val="20"/>
          <w:szCs w:val="20"/>
        </w:rPr>
      </w:pPr>
      <w:r>
        <w:rPr>
          <w:sz w:val="20"/>
          <w:szCs w:val="20"/>
        </w:rPr>
        <w:t>Libraries Learning Objectives</w:t>
      </w:r>
    </w:p>
    <w:p w:rsidR="005B0066" w:rsidRDefault="005B0066" w:rsidP="00F5054C">
      <w:pPr>
        <w:pStyle w:val="NoSpacing"/>
        <w:numPr>
          <w:ilvl w:val="0"/>
          <w:numId w:val="55"/>
        </w:numPr>
        <w:tabs>
          <w:tab w:val="left" w:pos="432"/>
        </w:tabs>
        <w:ind w:left="432" w:hanging="432"/>
        <w:rPr>
          <w:sz w:val="20"/>
          <w:szCs w:val="20"/>
        </w:rPr>
      </w:pPr>
      <w:r>
        <w:rPr>
          <w:sz w:val="20"/>
          <w:szCs w:val="20"/>
        </w:rPr>
        <w:t>Information Literacy Assessment Plan</w:t>
      </w:r>
    </w:p>
    <w:p w:rsidR="008F6EE6" w:rsidRDefault="008F6EE6" w:rsidP="00F5054C">
      <w:pPr>
        <w:pStyle w:val="NoSpacing"/>
        <w:numPr>
          <w:ilvl w:val="0"/>
          <w:numId w:val="55"/>
        </w:numPr>
        <w:tabs>
          <w:tab w:val="left" w:pos="432"/>
        </w:tabs>
        <w:ind w:left="432" w:hanging="432"/>
        <w:rPr>
          <w:sz w:val="20"/>
          <w:szCs w:val="20"/>
        </w:rPr>
      </w:pPr>
      <w:r>
        <w:t xml:space="preserve">mIntegrity: </w:t>
      </w:r>
      <w:hyperlink r:id="rId25" w:history="1">
        <w:r>
          <w:rPr>
            <w:rStyle w:val="Hyperlink"/>
          </w:rPr>
          <w:t>http://me.lib.miamioh.edu</w:t>
        </w:r>
      </w:hyperlink>
    </w:p>
    <w:p w:rsidR="00D63B9C" w:rsidRDefault="00D63B9C" w:rsidP="00FB01C3">
      <w:pPr>
        <w:pStyle w:val="NoSpacing"/>
        <w:rPr>
          <w:sz w:val="20"/>
          <w:szCs w:val="20"/>
        </w:rPr>
      </w:pPr>
    </w:p>
    <w:p w:rsidR="00DF347D" w:rsidRDefault="00DF347D">
      <w:pPr>
        <w:rPr>
          <w:sz w:val="28"/>
          <w:szCs w:val="28"/>
        </w:rPr>
      </w:pPr>
      <w:r>
        <w:rPr>
          <w:sz w:val="28"/>
          <w:szCs w:val="28"/>
        </w:rPr>
        <w:br w:type="page"/>
      </w:r>
    </w:p>
    <w:p w:rsidR="00A20BC9" w:rsidRDefault="00A20BC9" w:rsidP="00FB01C3">
      <w:pPr>
        <w:pStyle w:val="NoSpacing"/>
        <w:rPr>
          <w:sz w:val="28"/>
          <w:szCs w:val="28"/>
        </w:rPr>
      </w:pPr>
      <w:r w:rsidRPr="009B0670">
        <w:rPr>
          <w:sz w:val="28"/>
          <w:szCs w:val="28"/>
        </w:rPr>
        <w:lastRenderedPageBreak/>
        <w:t>Criterion 3: The institution provides high quality education, wherever and however its offerings are delivered.</w:t>
      </w:r>
    </w:p>
    <w:p w:rsidR="00A20BC9" w:rsidRPr="00C345E6" w:rsidRDefault="00C237F8" w:rsidP="00C237F8">
      <w:pPr>
        <w:pStyle w:val="Heading4"/>
      </w:pPr>
      <w:r>
        <w:t xml:space="preserve">3.A. </w:t>
      </w:r>
      <w:r>
        <w:tab/>
      </w:r>
      <w:r w:rsidR="00A20BC9" w:rsidRPr="00C345E6">
        <w:t>The institution’s degree programs are appropriate to higher education.</w:t>
      </w:r>
    </w:p>
    <w:p w:rsidR="00A20BC9" w:rsidRPr="00C237F8" w:rsidRDefault="00A20BC9" w:rsidP="00C237F8">
      <w:pPr>
        <w:pStyle w:val="Heading5"/>
        <w:ind w:left="720" w:hanging="720"/>
        <w:rPr>
          <w:sz w:val="22"/>
          <w:szCs w:val="22"/>
        </w:rPr>
      </w:pPr>
      <w:r w:rsidRPr="00C237F8">
        <w:rPr>
          <w:sz w:val="22"/>
          <w:szCs w:val="22"/>
        </w:rPr>
        <w:t>3</w:t>
      </w:r>
      <w:r w:rsidR="00C237F8">
        <w:rPr>
          <w:sz w:val="22"/>
          <w:szCs w:val="22"/>
        </w:rPr>
        <w:t>.A.1.</w:t>
      </w:r>
      <w:r w:rsidR="00C237F8">
        <w:rPr>
          <w:sz w:val="22"/>
          <w:szCs w:val="22"/>
        </w:rPr>
        <w:tab/>
      </w:r>
      <w:r w:rsidRPr="00C237F8">
        <w:rPr>
          <w:sz w:val="22"/>
          <w:szCs w:val="22"/>
        </w:rPr>
        <w:t>Courses and programs are current and require levels of performance by students appropriate to the degree or certificate awarded.</w:t>
      </w:r>
    </w:p>
    <w:p w:rsidR="00A20BC9" w:rsidRPr="00C237F8" w:rsidRDefault="00C237F8" w:rsidP="00C237F8">
      <w:pPr>
        <w:pStyle w:val="Heading5"/>
        <w:ind w:left="720" w:hanging="720"/>
        <w:rPr>
          <w:sz w:val="22"/>
          <w:szCs w:val="22"/>
        </w:rPr>
      </w:pPr>
      <w:r>
        <w:rPr>
          <w:sz w:val="22"/>
          <w:szCs w:val="22"/>
        </w:rPr>
        <w:t xml:space="preserve">3.A.2. </w:t>
      </w:r>
      <w:r>
        <w:rPr>
          <w:sz w:val="22"/>
          <w:szCs w:val="22"/>
        </w:rPr>
        <w:tab/>
      </w:r>
      <w:r w:rsidR="00A20BC9" w:rsidRPr="00C237F8">
        <w:rPr>
          <w:sz w:val="22"/>
          <w:szCs w:val="22"/>
        </w:rPr>
        <w:t xml:space="preserve">The institution articulates and differentiates learning goals for its undergraduate, graduate, post-baccalaureate, post-graduate and certificate programs. </w:t>
      </w:r>
    </w:p>
    <w:p w:rsidR="00A20BC9" w:rsidRPr="00C237F8" w:rsidRDefault="00C237F8" w:rsidP="00C237F8">
      <w:pPr>
        <w:pStyle w:val="Heading5"/>
        <w:ind w:left="720" w:hanging="720"/>
        <w:rPr>
          <w:sz w:val="22"/>
          <w:szCs w:val="22"/>
        </w:rPr>
      </w:pPr>
      <w:r>
        <w:rPr>
          <w:sz w:val="22"/>
          <w:szCs w:val="22"/>
        </w:rPr>
        <w:t xml:space="preserve">3.A.3. </w:t>
      </w:r>
      <w:r>
        <w:rPr>
          <w:sz w:val="22"/>
          <w:szCs w:val="22"/>
        </w:rPr>
        <w:tab/>
      </w:r>
      <w:r w:rsidR="00A20BC9" w:rsidRPr="00C237F8">
        <w:rPr>
          <w:sz w:val="22"/>
          <w:szCs w:val="22"/>
        </w:rPr>
        <w:t>The institution’s program quality and learning goals are consistent across all modes of delivery and all locations (on the main campus, at additional locations, by distance delivery, as dual credit, through contractual or consortial arrangements, or any other modality).</w:t>
      </w:r>
    </w:p>
    <w:p w:rsidR="002B2717" w:rsidRDefault="00C237F8" w:rsidP="00C237F8">
      <w:pPr>
        <w:pStyle w:val="Heading2"/>
      </w:pPr>
      <w:r>
        <w:t>Narrative</w:t>
      </w:r>
    </w:p>
    <w:p w:rsidR="00C237F8" w:rsidRDefault="0051011F" w:rsidP="009A612E">
      <w:r>
        <w:t>As</w:t>
      </w:r>
      <w:r w:rsidR="00E62601">
        <w:t xml:space="preserve"> is evident in </w:t>
      </w:r>
      <w:r>
        <w:t xml:space="preserve">the unifying goal of the Miami 2020 Plan, a high quality learning environment that produces outstanding </w:t>
      </w:r>
      <w:r w:rsidR="00E62601">
        <w:t xml:space="preserve">student </w:t>
      </w:r>
      <w:r>
        <w:t xml:space="preserve">outcomes is </w:t>
      </w:r>
      <w:r w:rsidR="00E62601">
        <w:t xml:space="preserve">central to Miami’s </w:t>
      </w:r>
      <w:r w:rsidR="00474D28">
        <w:t xml:space="preserve">purpose.  </w:t>
      </w:r>
      <w:r w:rsidR="00C237F8">
        <w:t xml:space="preserve">Miami assures the quality </w:t>
      </w:r>
      <w:r>
        <w:t xml:space="preserve">and appropriateness </w:t>
      </w:r>
      <w:r w:rsidR="00273E4D">
        <w:t>of its degree programs through a wide va</w:t>
      </w:r>
      <w:r w:rsidR="00E62601">
        <w:t>riety of summative, formative, internal</w:t>
      </w:r>
      <w:r w:rsidR="00774410">
        <w:t>,</w:t>
      </w:r>
      <w:r w:rsidR="00E62601">
        <w:t xml:space="preserve"> and external</w:t>
      </w:r>
      <w:r w:rsidR="00015725">
        <w:t xml:space="preserve"> mechanisms.</w:t>
      </w:r>
    </w:p>
    <w:p w:rsidR="00C562E1" w:rsidRDefault="00015725" w:rsidP="00F5054C">
      <w:pPr>
        <w:pStyle w:val="ListParagraph"/>
        <w:numPr>
          <w:ilvl w:val="0"/>
          <w:numId w:val="70"/>
        </w:numPr>
      </w:pPr>
      <w:r>
        <w:t xml:space="preserve">Departments submit proposals for new degree programs.  </w:t>
      </w:r>
      <w:r w:rsidR="00C562E1">
        <w:t xml:space="preserve">The forms </w:t>
      </w:r>
      <w:r w:rsidR="009C6B62">
        <w:t xml:space="preserve">include information relating to third-party accreditation, departmental mission, </w:t>
      </w:r>
      <w:r w:rsidR="006168CC">
        <w:t>support services, program goals and learning outcomes, courses and course sequence, delivery methods, assessment, quality and expectations of faculty, and library and other reso</w:t>
      </w:r>
      <w:r w:rsidR="00774410">
        <w:t>urces.  These f</w:t>
      </w:r>
      <w:r w:rsidR="006168CC">
        <w:t>orms are reviewed and revised each year to ensure relevancy</w:t>
      </w:r>
      <w:r w:rsidR="009A612E">
        <w:t xml:space="preserve"> and rigor</w:t>
      </w:r>
      <w:r w:rsidR="006168CC">
        <w:t>.</w:t>
      </w:r>
      <w:r w:rsidRPr="00015725">
        <w:t xml:space="preserve"> </w:t>
      </w:r>
      <w:r>
        <w:t xml:space="preserve">Proposal forms for new degree programs (including certificates) were revised in 2013 to be more comprehensive and aligned with the Ohio Board of Regents expectations.  </w:t>
      </w:r>
    </w:p>
    <w:p w:rsidR="00E62601" w:rsidRDefault="00A2465F" w:rsidP="00F5054C">
      <w:pPr>
        <w:pStyle w:val="ListParagraph"/>
        <w:numPr>
          <w:ilvl w:val="0"/>
          <w:numId w:val="70"/>
        </w:numPr>
      </w:pPr>
      <w:r>
        <w:t xml:space="preserve">Once proposals are </w:t>
      </w:r>
      <w:r w:rsidR="006168CC">
        <w:t>created, n</w:t>
      </w:r>
      <w:r w:rsidR="00E62601">
        <w:t xml:space="preserve">ew degrees and </w:t>
      </w:r>
      <w:r w:rsidR="009A612E">
        <w:t xml:space="preserve">majors undergo a rigorous, </w:t>
      </w:r>
      <w:r w:rsidR="00E62601">
        <w:t xml:space="preserve">multi-tiered internal </w:t>
      </w:r>
      <w:r w:rsidR="00085D4D">
        <w:t xml:space="preserve">review and </w:t>
      </w:r>
      <w:r w:rsidR="00E62601">
        <w:t xml:space="preserve">approval process that includes: </w:t>
      </w:r>
      <w:r w:rsidR="00085D4D">
        <w:t>the department or program, academic division curriculum committee, university-level curriculum committee (</w:t>
      </w:r>
      <w:r w:rsidR="00774410">
        <w:t xml:space="preserve">i.e., the </w:t>
      </w:r>
      <w:r w:rsidR="00085D4D">
        <w:t xml:space="preserve">Graduate Council or </w:t>
      </w:r>
      <w:r w:rsidR="00774410">
        <w:t xml:space="preserve">the </w:t>
      </w:r>
      <w:r w:rsidR="00085D4D">
        <w:t xml:space="preserve">Council for Undergraduate Curriculum), Council of Academic Deans, University Senate, </w:t>
      </w:r>
      <w:r w:rsidR="003B056A">
        <w:t xml:space="preserve">and </w:t>
      </w:r>
      <w:r w:rsidR="00223DBB">
        <w:t xml:space="preserve">the </w:t>
      </w:r>
      <w:r w:rsidR="00667347">
        <w:t>p</w:t>
      </w:r>
      <w:r w:rsidR="00085D4D">
        <w:t>resident</w:t>
      </w:r>
      <w:r w:rsidR="003B056A">
        <w:t>. T</w:t>
      </w:r>
      <w:r w:rsidR="00223DBB">
        <w:t xml:space="preserve">he </w:t>
      </w:r>
      <w:r w:rsidR="00085D4D">
        <w:t>Board of Trustees</w:t>
      </w:r>
      <w:r w:rsidR="003B056A">
        <w:t xml:space="preserve"> approves all new degrees</w:t>
      </w:r>
      <w:r w:rsidR="00085D4D">
        <w:t xml:space="preserve">.  </w:t>
      </w:r>
      <w:r w:rsidR="00680C7A">
        <w:t>Using guidelines created by the Center for the Enhancement of Learning, Teaching &amp; University Assessment</w:t>
      </w:r>
      <w:r w:rsidR="00474D28">
        <w:t xml:space="preserve"> (CELTUA)</w:t>
      </w:r>
      <w:r w:rsidR="00680C7A">
        <w:t>, the divisional curriculum committees are responsible for ensuring that assessment plans are appropriate, meaningful</w:t>
      </w:r>
      <w:r w:rsidR="00474D28">
        <w:t>,</w:t>
      </w:r>
      <w:r w:rsidR="00680C7A">
        <w:t xml:space="preserve"> and feasible.</w:t>
      </w:r>
    </w:p>
    <w:p w:rsidR="009A612E" w:rsidRDefault="009A612E" w:rsidP="00F5054C">
      <w:pPr>
        <w:pStyle w:val="ListParagraph"/>
        <w:numPr>
          <w:ilvl w:val="0"/>
          <w:numId w:val="70"/>
        </w:numPr>
      </w:pPr>
      <w:r>
        <w:t xml:space="preserve">Following the appropriate internal approvals, proposals </w:t>
      </w:r>
      <w:r w:rsidR="00F146E8">
        <w:t xml:space="preserve">for all undergraduate and graduate degree programs </w:t>
      </w:r>
      <w:r>
        <w:t>are then forwarded to the Ohio Board of Regents (OB</w:t>
      </w:r>
      <w:r w:rsidR="00880FAE">
        <w:t>O</w:t>
      </w:r>
      <w:r>
        <w:t>R).</w:t>
      </w:r>
      <w:r w:rsidR="009872EF">
        <w:t xml:space="preserve"> In its review of degree programs, OB</w:t>
      </w:r>
      <w:r w:rsidR="00880FAE">
        <w:t>O</w:t>
      </w:r>
      <w:r w:rsidR="00817963">
        <w:t>R follows a set of academic program guidelines that are articulated in the “Guidelines and Procedures for Academic Program Review.”</w:t>
      </w:r>
      <w:r w:rsidR="009872EF">
        <w:t xml:space="preserve">  </w:t>
      </w:r>
    </w:p>
    <w:p w:rsidR="009872EF" w:rsidRDefault="00C95209" w:rsidP="009A612E">
      <w:r>
        <w:t xml:space="preserve">Individual courses also undergo a multi-level review process that includes the department, </w:t>
      </w:r>
      <w:r w:rsidR="00667347">
        <w:t xml:space="preserve">the </w:t>
      </w:r>
      <w:r>
        <w:t xml:space="preserve">division, </w:t>
      </w:r>
      <w:r w:rsidR="00667347">
        <w:t xml:space="preserve">the </w:t>
      </w:r>
      <w:r>
        <w:t>Council of Academic Deans, and University Senate</w:t>
      </w:r>
      <w:r w:rsidR="00A2465F">
        <w:t xml:space="preserve"> (MUPIM, section 11)</w:t>
      </w:r>
      <w:r>
        <w:t>.  Over 175 Miami courses have been reviewed and approved by the faculty review panels of the Ohio Board of Regents to meet the standards of the “Transfer Assurance Guides”</w:t>
      </w:r>
      <w:r w:rsidR="005355FC">
        <w:t xml:space="preserve"> and the “Ohio Transfer Module” so that course credit can be tr</w:t>
      </w:r>
      <w:r w:rsidR="00667347">
        <w:t>ansferred to the State of Ohio S</w:t>
      </w:r>
      <w:r w:rsidR="005355FC">
        <w:t>ystem for general ed</w:t>
      </w:r>
      <w:r w:rsidR="00223DBB">
        <w:t>ucation and other degree requirements</w:t>
      </w:r>
      <w:r w:rsidR="005355FC">
        <w:t xml:space="preserve">.  </w:t>
      </w:r>
    </w:p>
    <w:p w:rsidR="00B66B13" w:rsidRDefault="009E0FED" w:rsidP="004D69B8">
      <w:r>
        <w:t>In addition to these</w:t>
      </w:r>
      <w:r w:rsidR="00E335FA">
        <w:t xml:space="preserve"> mechanisms, all academic departments and programs </w:t>
      </w:r>
      <w:r w:rsidR="00667347">
        <w:t>undergo academic program r</w:t>
      </w:r>
      <w:r>
        <w:t xml:space="preserve">eview </w:t>
      </w:r>
      <w:r w:rsidR="003F508F">
        <w:t>every 5-7 years</w:t>
      </w:r>
      <w:r w:rsidR="00B66B13">
        <w:t xml:space="preserve"> (described in </w:t>
      </w:r>
      <w:r w:rsidR="00445BA6">
        <w:t xml:space="preserve">the </w:t>
      </w:r>
      <w:r w:rsidR="00B66B13">
        <w:t>4.A narrative)</w:t>
      </w:r>
      <w:r w:rsidR="00223DBB">
        <w:t xml:space="preserve"> which includes review of the curriculum for relevancy, rigor</w:t>
      </w:r>
      <w:r w:rsidR="00667347">
        <w:t>,</w:t>
      </w:r>
      <w:r w:rsidR="00223DBB">
        <w:t xml:space="preserve"> and currency</w:t>
      </w:r>
      <w:r w:rsidR="003F508F">
        <w:t xml:space="preserve">.  </w:t>
      </w:r>
    </w:p>
    <w:p w:rsidR="00441F76" w:rsidRDefault="00441F76" w:rsidP="004D69B8">
      <w:r>
        <w:t>Each year, all academic units are required to review the</w:t>
      </w:r>
      <w:r w:rsidR="00667347">
        <w:t>ir</w:t>
      </w:r>
      <w:r>
        <w:t xml:space="preserve"> c</w:t>
      </w:r>
      <w:r w:rsidR="006F5248">
        <w:t>ourse offerings</w:t>
      </w:r>
      <w:r>
        <w:t xml:space="preserve"> so that they can delete outdated courses and update continuing ones.  </w:t>
      </w:r>
      <w:r w:rsidR="00FF058A">
        <w:t>A description of the goals of each degree program is included in the General Bulletin, and a list of the student learning outc</w:t>
      </w:r>
      <w:r w:rsidR="00DB060F">
        <w:t>omes for all degree programs is</w:t>
      </w:r>
      <w:r w:rsidR="00FF058A">
        <w:t xml:space="preserve"> availa</w:t>
      </w:r>
      <w:r w:rsidR="00A87651">
        <w:t xml:space="preserve">ble on the University website. </w:t>
      </w:r>
    </w:p>
    <w:p w:rsidR="006F5248" w:rsidRDefault="00DB060F" w:rsidP="00E335FA">
      <w:r w:rsidRPr="00A33454">
        <w:lastRenderedPageBreak/>
        <w:t xml:space="preserve">In 2008-2009, </w:t>
      </w:r>
      <w:r w:rsidR="00A33454" w:rsidRPr="00A33454">
        <w:t xml:space="preserve">under the leadership of the dean of the graduate school, a committee consisting of faculty and associate deans </w:t>
      </w:r>
      <w:r w:rsidRPr="00A33454">
        <w:t xml:space="preserve">conducted a </w:t>
      </w:r>
      <w:r w:rsidR="00A33454" w:rsidRPr="00A33454">
        <w:t xml:space="preserve">year-long </w:t>
      </w:r>
      <w:r w:rsidRPr="00A33454">
        <w:t xml:space="preserve">review of all graduate programs.  </w:t>
      </w:r>
      <w:r w:rsidR="00A33454" w:rsidRPr="00A33454">
        <w:t>This review led to a reapportionment of funding for graduate assistantships to address changes in prof</w:t>
      </w:r>
      <w:r w:rsidR="00445BA6">
        <w:t>essional fields and contribute</w:t>
      </w:r>
      <w:r w:rsidR="00667347">
        <w:t xml:space="preserve"> to the university's </w:t>
      </w:r>
      <w:r w:rsidR="00A33454" w:rsidRPr="00A33454">
        <w:t xml:space="preserve">cost-reduction efforts. </w:t>
      </w:r>
    </w:p>
    <w:p w:rsidR="00F146E8" w:rsidRDefault="00E335FA" w:rsidP="00E335FA">
      <w:r>
        <w:t>Miami’s degree programs are also shaped by national standards</w:t>
      </w:r>
      <w:r w:rsidR="00FD56CF">
        <w:t>, employer input,</w:t>
      </w:r>
      <w:r>
        <w:t xml:space="preserve"> and best practice</w:t>
      </w:r>
      <w:r w:rsidR="003B056A">
        <w:t>s</w:t>
      </w:r>
      <w:r>
        <w:t>.</w:t>
      </w:r>
      <w:r w:rsidR="006F5248">
        <w:t xml:space="preserve"> Academic divisions have </w:t>
      </w:r>
      <w:r w:rsidR="00FD56CF">
        <w:t>external advisory board</w:t>
      </w:r>
      <w:r w:rsidR="006F5248">
        <w:t>s</w:t>
      </w:r>
      <w:r w:rsidR="00FD56CF">
        <w:t>, and as a result of the Miami 2020 Plan objectives and metrics, almost all departments have formed or are in the process of forming their own advisory groups to ensur</w:t>
      </w:r>
      <w:r w:rsidR="006F5248">
        <w:t>e that their degrees meet</w:t>
      </w:r>
      <w:r w:rsidR="00FD56CF">
        <w:t xml:space="preserve"> the needs of employers.  Miami participates in a variety of national surveys and forms of assessment, including the Voluntary System of Accountability, the National Survey of Student Engagement, the Faculty Survey of</w:t>
      </w:r>
      <w:r w:rsidR="00FF5785">
        <w:t xml:space="preserve"> Student Engagement, HERI Faculty Survey, t</w:t>
      </w:r>
      <w:r w:rsidR="0084277C">
        <w:t xml:space="preserve">he Collegiate Learning Assessment, and </w:t>
      </w:r>
      <w:r w:rsidR="00291D30">
        <w:t xml:space="preserve">the </w:t>
      </w:r>
      <w:r w:rsidR="0084277C">
        <w:t>College Senior Survey.</w:t>
      </w:r>
      <w:r w:rsidR="00FF5785">
        <w:t xml:space="preserve"> It is also an active member of the Association of American Colleges &amp; Universities and has participated in a number of AAC&amp;U initiatives (e.g., Shared Futures, Greater Expectations) to ensure program quality. The revised Global Miami Plan was desig</w:t>
      </w:r>
      <w:r w:rsidR="00E17510">
        <w:t xml:space="preserve">ned purposefully to promote </w:t>
      </w:r>
      <w:r w:rsidR="00FF5785">
        <w:t>AAC&amp;U</w:t>
      </w:r>
      <w:r w:rsidR="00E17510">
        <w:t>’s</w:t>
      </w:r>
      <w:r w:rsidR="00FF5785">
        <w:t xml:space="preserve"> “Liberal Education &amp; America’s Promise” (LEAP) outcomes. </w:t>
      </w:r>
      <w:r w:rsidR="00EB72B6">
        <w:t xml:space="preserve">In 2014, </w:t>
      </w:r>
      <w:r w:rsidR="00EB72B6">
        <w:rPr>
          <w:shd w:val="clear" w:color="auto" w:fill="FFFFFF"/>
        </w:rPr>
        <w:t>Miami’s assessment team voluntarily conducted a self-study, “Assuring Quality,” for the New Leadership Alliance for Student Learning and Accountability. </w:t>
      </w:r>
    </w:p>
    <w:p w:rsidR="002100F7" w:rsidRDefault="00F146E8" w:rsidP="002100F7">
      <w:r>
        <w:t>For the Qu</w:t>
      </w:r>
      <w:r w:rsidR="00E17510">
        <w:t>ality Initiative Project for its</w:t>
      </w:r>
      <w:r>
        <w:t xml:space="preserve"> application for re-accreditation</w:t>
      </w:r>
      <w:r w:rsidR="00DD3114">
        <w:t xml:space="preserve"> with the Higher Learning Commission</w:t>
      </w:r>
      <w:r>
        <w:t>, Miami tested the Degree Qualifications Profile</w:t>
      </w:r>
      <w:r w:rsidR="00DD3114">
        <w:t xml:space="preserve"> (DQP) which</w:t>
      </w:r>
      <w:r w:rsidR="002100F7">
        <w:t xml:space="preserve"> is a tool developed by the Lumina Foundation to illustrate concretely what students should be expected to know or do when they graduate </w:t>
      </w:r>
      <w:r w:rsidR="00DD3114">
        <w:t>with an associate, bachelor</w:t>
      </w:r>
      <w:r w:rsidR="002100F7">
        <w:t>s, or master’s degree.  Miami Unive</w:t>
      </w:r>
      <w:r w:rsidR="00EB72B6">
        <w:t>rsity tested</w:t>
      </w:r>
      <w:r w:rsidR="002100F7">
        <w:t xml:space="preserve"> t</w:t>
      </w:r>
      <w:r w:rsidR="00DD3114">
        <w:t>he DQP</w:t>
      </w:r>
      <w:r w:rsidR="002100F7">
        <w:t xml:space="preserve"> by:</w:t>
      </w:r>
    </w:p>
    <w:p w:rsidR="002100F7" w:rsidRDefault="002100F7" w:rsidP="000945E2">
      <w:pPr>
        <w:numPr>
          <w:ilvl w:val="0"/>
          <w:numId w:val="38"/>
        </w:numPr>
        <w:spacing w:after="180" w:line="273" w:lineRule="auto"/>
      </w:pPr>
      <w:r>
        <w:t>Engaging in focus group sessions on t</w:t>
      </w:r>
      <w:r w:rsidR="00DD3114">
        <w:t>he DQP</w:t>
      </w:r>
      <w:r>
        <w:t xml:space="preserve"> with students, parents, faculty representativ</w:t>
      </w:r>
      <w:r w:rsidR="003B056A">
        <w:t>es from all associate, bachelor</w:t>
      </w:r>
      <w:r>
        <w:t xml:space="preserve">s, and master’s degree programs, </w:t>
      </w:r>
      <w:r w:rsidR="00E17510">
        <w:t>and staff representatives from student a</w:t>
      </w:r>
      <w:r>
        <w:t>ffairs units at Miami University;</w:t>
      </w:r>
    </w:p>
    <w:p w:rsidR="002100F7" w:rsidRDefault="002100F7" w:rsidP="000945E2">
      <w:pPr>
        <w:numPr>
          <w:ilvl w:val="0"/>
          <w:numId w:val="38"/>
        </w:numPr>
        <w:spacing w:after="180" w:line="273" w:lineRule="auto"/>
      </w:pPr>
      <w:r>
        <w:t>Facilitating assessment workshops for faculty in which t</w:t>
      </w:r>
      <w:r w:rsidR="00DD3114">
        <w:t>he DQP</w:t>
      </w:r>
      <w:r>
        <w:t xml:space="preserve"> is made available as a starting point for the development of outcomes-based assessment plans for selected associate, bachelor</w:t>
      </w:r>
      <w:r w:rsidR="00DD3114">
        <w:t>’s and master’s degree programs</w:t>
      </w:r>
      <w:r>
        <w:t>, and comparing student learning outcomes in existing departmental assessment plans with outcomes articulated in the DQP.</w:t>
      </w:r>
    </w:p>
    <w:p w:rsidR="00A33454" w:rsidRDefault="00DD3114" w:rsidP="00E335FA">
      <w:r>
        <w:t>This project ena</w:t>
      </w:r>
      <w:r w:rsidR="00291D30">
        <w:t>bled Miami to gauge</w:t>
      </w:r>
      <w:r w:rsidR="00F00FA3">
        <w:t xml:space="preserve"> whether the</w:t>
      </w:r>
      <w:r w:rsidR="0038627C">
        <w:t xml:space="preserve"> learning objective</w:t>
      </w:r>
      <w:r>
        <w:t>s</w:t>
      </w:r>
      <w:r w:rsidR="00F00FA3">
        <w:t xml:space="preserve"> at each degree level</w:t>
      </w:r>
      <w:r>
        <w:t xml:space="preserve"> were aligned with national standards.</w:t>
      </w:r>
      <w:r w:rsidR="00F00FA3">
        <w:t xml:space="preserve"> Findings from this project were used to shape the revision of the Global Miami Plan.</w:t>
      </w:r>
    </w:p>
    <w:p w:rsidR="00365EF0" w:rsidRDefault="00E17510" w:rsidP="00E335FA">
      <w:r>
        <w:t>The u</w:t>
      </w:r>
      <w:r w:rsidR="004A57A0">
        <w:t>niversity</w:t>
      </w:r>
      <w:r w:rsidR="00291D30">
        <w:t xml:space="preserve"> also</w:t>
      </w:r>
      <w:r w:rsidR="004A57A0">
        <w:t xml:space="preserve"> ensures that the quality and learning goals of academic programs are consistent across all modes of delivery and all locations.  </w:t>
      </w:r>
      <w:r w:rsidR="00651134">
        <w:t>Guidelines fo</w:t>
      </w:r>
      <w:r w:rsidR="00B72F43">
        <w:t xml:space="preserve">r dual enrollment offerings, Oxford-based </w:t>
      </w:r>
      <w:r w:rsidR="00651134">
        <w:t>courses</w:t>
      </w:r>
      <w:r w:rsidR="00B72F43">
        <w:t xml:space="preserve"> that are offered on one of the regional campuses</w:t>
      </w:r>
      <w:r w:rsidR="00651134">
        <w:t xml:space="preserve">, and </w:t>
      </w:r>
      <w:r w:rsidR="00F00FA3">
        <w:t>courses offered at the Miami University Dolibois European</w:t>
      </w:r>
      <w:r w:rsidR="00B72F43">
        <w:t xml:space="preserve"> Center (MUDEC) in Luxembourg are in place to ensure consistency in quality.  These guidelines articulate </w:t>
      </w:r>
      <w:r w:rsidR="00312C64">
        <w:t xml:space="preserve">clear </w:t>
      </w:r>
      <w:r w:rsidR="00B72F43">
        <w:t>criteria</w:t>
      </w:r>
      <w:r w:rsidR="00312C64">
        <w:t xml:space="preserve"> for the instructors and ensure</w:t>
      </w:r>
      <w:r w:rsidR="00B72F43">
        <w:t xml:space="preserve"> close supervision and oversight by the home department</w:t>
      </w:r>
      <w:r>
        <w:t xml:space="preserve"> in Oxford</w:t>
      </w:r>
      <w:r w:rsidR="00B72F43">
        <w:t xml:space="preserve">.  </w:t>
      </w:r>
    </w:p>
    <w:p w:rsidR="00312C64" w:rsidRPr="008A6593" w:rsidRDefault="00272C34" w:rsidP="008A6593">
      <w:r w:rsidRPr="008A6593">
        <w:t>Service-learning designated courses undergo an a</w:t>
      </w:r>
      <w:r w:rsidR="00E17510">
        <w:t>dditional approval by a faculty-</w:t>
      </w:r>
      <w:r w:rsidRPr="008A6593">
        <w:t>driven committee that is guided b</w:t>
      </w:r>
      <w:r w:rsidR="00291D30">
        <w:t>y best practice</w:t>
      </w:r>
      <w:r w:rsidRPr="008A6593">
        <w:t>.</w:t>
      </w:r>
      <w:r w:rsidR="005D71F7" w:rsidRPr="008A6593">
        <w:t xml:space="preserve">  </w:t>
      </w:r>
      <w:r w:rsidR="00312C64" w:rsidRPr="008A6593">
        <w:t>All international workshop courses and MUDEC courses undergo the same curricular review and approval process as traditional courses offered on the O</w:t>
      </w:r>
      <w:r w:rsidR="008A6593">
        <w:t xml:space="preserve">hio campuses, and internationally-based </w:t>
      </w:r>
      <w:r w:rsidR="00312C64" w:rsidRPr="008A6593">
        <w:t xml:space="preserve">courses are </w:t>
      </w:r>
      <w:r w:rsidR="004F25ED" w:rsidRPr="008A6593">
        <w:t xml:space="preserve">additionally </w:t>
      </w:r>
      <w:r w:rsidR="00312C64" w:rsidRPr="008A6593">
        <w:t xml:space="preserve">reviewed </w:t>
      </w:r>
      <w:r w:rsidR="00E17510">
        <w:t>by the assistant provost of global i</w:t>
      </w:r>
      <w:r w:rsidR="004F25ED" w:rsidRPr="008A6593">
        <w:t xml:space="preserve">nitiatives </w:t>
      </w:r>
      <w:r w:rsidR="00312C64" w:rsidRPr="008A6593">
        <w:t xml:space="preserve">using </w:t>
      </w:r>
      <w:r w:rsidR="00893DA2" w:rsidRPr="008A6593">
        <w:t xml:space="preserve">the AAC&amp;U </w:t>
      </w:r>
      <w:r w:rsidR="0070106E">
        <w:t>“</w:t>
      </w:r>
      <w:r w:rsidR="00893DA2" w:rsidRPr="008A6593">
        <w:t xml:space="preserve">Global </w:t>
      </w:r>
      <w:r w:rsidR="004F25ED" w:rsidRPr="008A6593">
        <w:t>Learning Standards</w:t>
      </w:r>
      <w:r w:rsidR="0070106E">
        <w:t>”</w:t>
      </w:r>
      <w:r w:rsidR="00893DA2" w:rsidRPr="008A6593">
        <w:t xml:space="preserve"> and the Forum on Education Abroad</w:t>
      </w:r>
      <w:r w:rsidR="0065378B">
        <w:t>’s</w:t>
      </w:r>
      <w:r w:rsidR="00893DA2" w:rsidRPr="008A6593">
        <w:t xml:space="preserve"> </w:t>
      </w:r>
      <w:r w:rsidR="0070106E">
        <w:t>“</w:t>
      </w:r>
      <w:r w:rsidR="00893DA2" w:rsidRPr="008A6593">
        <w:t>Standards of Good Practice for Education Abroad,</w:t>
      </w:r>
      <w:r w:rsidR="0070106E">
        <w:t>”</w:t>
      </w:r>
      <w:r w:rsidR="00893DA2" w:rsidRPr="008A6593">
        <w:t xml:space="preserve"> which include rigorous academic standards, as well as risk management, crisis response, finances, and a code of </w:t>
      </w:r>
      <w:r w:rsidR="008A6593" w:rsidRPr="008A6593">
        <w:t>ethics fo</w:t>
      </w:r>
      <w:r w:rsidR="00403FE6">
        <w:t>r education abroad</w:t>
      </w:r>
      <w:r w:rsidR="00893DA2" w:rsidRPr="008A6593">
        <w:t>.</w:t>
      </w:r>
      <w:r w:rsidR="008A6593" w:rsidRPr="008A6593">
        <w:t xml:space="preserve">  </w:t>
      </w:r>
      <w:r w:rsidR="00893DA2" w:rsidRPr="008A6593">
        <w:t>T</w:t>
      </w:r>
      <w:r w:rsidR="004F25ED" w:rsidRPr="008A6593">
        <w:t>he MUDEC Committe</w:t>
      </w:r>
      <w:r w:rsidR="002C6CBC">
        <w:t>e additionally reviews its</w:t>
      </w:r>
      <w:r w:rsidR="004F25ED" w:rsidRPr="008A6593">
        <w:t xml:space="preserve"> course proposals to ensure that they also meet MUDEC-specific goals.</w:t>
      </w:r>
    </w:p>
    <w:p w:rsidR="00924038" w:rsidRDefault="00924038" w:rsidP="00924038">
      <w:r>
        <w:lastRenderedPageBreak/>
        <w:t xml:space="preserve">Since the last reaccreditation, the number of </w:t>
      </w:r>
      <w:r w:rsidR="002C6CBC">
        <w:t xml:space="preserve">fully </w:t>
      </w:r>
      <w:r>
        <w:t>online Miami courses has been slowly but steadily increasing</w:t>
      </w:r>
      <w:r w:rsidR="0070106E">
        <w:t>, and steps are being</w:t>
      </w:r>
      <w:r w:rsidR="00D247B2">
        <w:t xml:space="preserve"> taken to ensure the quality of these experiences. In 2012-2013, t</w:t>
      </w:r>
      <w:r w:rsidR="00C91B71">
        <w:t>he u</w:t>
      </w:r>
      <w:r>
        <w:t>niversity formed the E-Learnin</w:t>
      </w:r>
      <w:r w:rsidR="00D247B2">
        <w:t xml:space="preserve">g Advisory Council </w:t>
      </w:r>
      <w:r>
        <w:t>to recommend a plan fo</w:t>
      </w:r>
      <w:r w:rsidR="00D247B2">
        <w:t xml:space="preserve">r better supporting and improving </w:t>
      </w:r>
      <w:r>
        <w:t>e-learning at Miami.  Following the E</w:t>
      </w:r>
      <w:r w:rsidR="00A87651">
        <w:t>-</w:t>
      </w:r>
      <w:r>
        <w:t>LAC report, a new assistant provost was hired in November of 2013 to develop and implement a strategi</w:t>
      </w:r>
      <w:r w:rsidR="0070106E">
        <w:t>c plan for e-learning which</w:t>
      </w:r>
      <w:r>
        <w:t xml:space="preserve"> includes:</w:t>
      </w:r>
    </w:p>
    <w:p w:rsidR="00924038" w:rsidRDefault="00924038" w:rsidP="000945E2">
      <w:pPr>
        <w:pStyle w:val="ListParagraph"/>
        <w:numPr>
          <w:ilvl w:val="0"/>
          <w:numId w:val="39"/>
        </w:numPr>
        <w:ind w:left="720"/>
      </w:pPr>
      <w:r>
        <w:t>New processes to support faculty in designing and delivering online courses to support both</w:t>
      </w:r>
      <w:r w:rsidR="00E178C3">
        <w:t xml:space="preserve"> scale and excellence, including </w:t>
      </w:r>
      <w:r>
        <w:t xml:space="preserve">extended </w:t>
      </w:r>
      <w:r w:rsidR="00D247B2">
        <w:t>(three</w:t>
      </w:r>
      <w:r w:rsidR="00E178C3">
        <w:t>-month) workshops and</w:t>
      </w:r>
      <w:r w:rsidR="00D247B2">
        <w:t xml:space="preserve"> intense five</w:t>
      </w:r>
      <w:r>
        <w:t>-day workshops to guide faculty through a backward design process, supported by instructional designers. Other elements include the development of self-paced modules, as well as QuickGuides, videos, and other</w:t>
      </w:r>
      <w:r w:rsidR="00D247B2">
        <w:t xml:space="preserve"> just-in-time development tools;</w:t>
      </w:r>
    </w:p>
    <w:p w:rsidR="00924038" w:rsidRDefault="00924038" w:rsidP="000945E2">
      <w:pPr>
        <w:pStyle w:val="ListParagraph"/>
        <w:numPr>
          <w:ilvl w:val="0"/>
          <w:numId w:val="39"/>
        </w:numPr>
        <w:ind w:left="720"/>
      </w:pPr>
      <w:r>
        <w:t>Increasing technical staff to include a videographer, multi-media developer, and additional instructional designers</w:t>
      </w:r>
      <w:r w:rsidR="00D247B2">
        <w:t>;</w:t>
      </w:r>
    </w:p>
    <w:p w:rsidR="00924038" w:rsidRDefault="00924038" w:rsidP="000945E2">
      <w:pPr>
        <w:pStyle w:val="ListParagraph"/>
        <w:numPr>
          <w:ilvl w:val="0"/>
          <w:numId w:val="39"/>
        </w:numPr>
        <w:ind w:left="720"/>
      </w:pPr>
      <w:r>
        <w:t>Enhancing faculty knowledge of online teaching excellence by offering access to external development opportunities such as Quality Matters training and conference attendance. These are enhanced by incentives and supports including eLearning excellence awards, the creation of teaching fellows, and sharing resources by means of collabora</w:t>
      </w:r>
      <w:r w:rsidR="00D247B2">
        <w:t>tion on a “master” course shell;</w:t>
      </w:r>
    </w:p>
    <w:p w:rsidR="00924038" w:rsidRDefault="00924038" w:rsidP="000945E2">
      <w:pPr>
        <w:pStyle w:val="ListParagraph"/>
        <w:numPr>
          <w:ilvl w:val="0"/>
          <w:numId w:val="39"/>
        </w:numPr>
        <w:ind w:left="720"/>
      </w:pPr>
      <w:r>
        <w:t xml:space="preserve">Review and selection of a new learning management system, led by a faculty committee </w:t>
      </w:r>
      <w:r w:rsidR="00E178C3">
        <w:t>and using a transparent process;</w:t>
      </w:r>
    </w:p>
    <w:p w:rsidR="00924038" w:rsidRDefault="00924038" w:rsidP="000945E2">
      <w:pPr>
        <w:pStyle w:val="ListParagraph"/>
        <w:numPr>
          <w:ilvl w:val="0"/>
          <w:numId w:val="39"/>
        </w:numPr>
        <w:ind w:left="720"/>
      </w:pPr>
      <w:r>
        <w:t>Divis</w:t>
      </w:r>
      <w:r w:rsidR="0070106E">
        <w:t>ional and university-level e-learning c</w:t>
      </w:r>
      <w:r>
        <w:t>ommittees to address pedagog</w:t>
      </w:r>
      <w:r w:rsidR="0070106E">
        <w:t>ical issues and needs for each d</w:t>
      </w:r>
      <w:r>
        <w:t>ivision (e.g., standards and guidelines for online course design and instruction, response standards, feedback, etc.)</w:t>
      </w:r>
      <w:r w:rsidR="00E178C3">
        <w:t>;</w:t>
      </w:r>
    </w:p>
    <w:p w:rsidR="00924038" w:rsidRDefault="0070106E" w:rsidP="000945E2">
      <w:pPr>
        <w:pStyle w:val="ListParagraph"/>
        <w:numPr>
          <w:ilvl w:val="0"/>
          <w:numId w:val="39"/>
        </w:numPr>
        <w:ind w:left="720"/>
      </w:pPr>
      <w:r>
        <w:t>Guidelines for online c</w:t>
      </w:r>
      <w:r w:rsidR="00924038">
        <w:t>ourses that meet and exceed national</w:t>
      </w:r>
      <w:r w:rsidR="00E178C3">
        <w:t xml:space="preserve"> norms, such as Quality Matters;</w:t>
      </w:r>
    </w:p>
    <w:p w:rsidR="00924038" w:rsidRDefault="00924038" w:rsidP="000945E2">
      <w:pPr>
        <w:pStyle w:val="ListParagraph"/>
        <w:numPr>
          <w:ilvl w:val="0"/>
          <w:numId w:val="39"/>
        </w:numPr>
        <w:ind w:left="720"/>
      </w:pPr>
      <w:r>
        <w:t>Plans to enhance and support research on teaching with technology, including a website with resour</w:t>
      </w:r>
      <w:r w:rsidR="00E178C3">
        <w:t>ces, personnel and small grants;</w:t>
      </w:r>
    </w:p>
    <w:p w:rsidR="00924038" w:rsidRDefault="00924038" w:rsidP="000945E2">
      <w:pPr>
        <w:pStyle w:val="ListParagraph"/>
        <w:numPr>
          <w:ilvl w:val="0"/>
          <w:numId w:val="39"/>
        </w:numPr>
        <w:ind w:left="720"/>
      </w:pPr>
      <w:r>
        <w:t>Accessibility support, including captioning for videos and faculty training in universal de</w:t>
      </w:r>
      <w:r w:rsidR="00E178C3">
        <w:t>sign;</w:t>
      </w:r>
    </w:p>
    <w:p w:rsidR="00924038" w:rsidRDefault="00924038" w:rsidP="000945E2">
      <w:pPr>
        <w:pStyle w:val="ListParagraph"/>
        <w:numPr>
          <w:ilvl w:val="0"/>
          <w:numId w:val="39"/>
        </w:numPr>
        <w:ind w:left="720"/>
      </w:pPr>
      <w:r>
        <w:t>Faculty</w:t>
      </w:r>
      <w:r w:rsidR="008F6A41">
        <w:t xml:space="preserve"> compensation for course design</w:t>
      </w:r>
      <w:r>
        <w:t xml:space="preserve"> and the use of an iterative course design process that includes self- assessment, focus groups</w:t>
      </w:r>
      <w:r w:rsidR="00E178C3">
        <w:t>,</w:t>
      </w:r>
      <w:r>
        <w:t xml:space="preserve"> and course revision as part of the process.</w:t>
      </w:r>
    </w:p>
    <w:p w:rsidR="00893DA2" w:rsidRDefault="00CD405D" w:rsidP="00957DE1">
      <w:r>
        <w:t xml:space="preserve">Although Miami has made </w:t>
      </w:r>
      <w:r w:rsidR="00E178C3">
        <w:t xml:space="preserve">initial </w:t>
      </w:r>
      <w:r>
        <w:t xml:space="preserve">strides in the area of e-learning in the last several years, </w:t>
      </w:r>
      <w:r w:rsidR="00995E88">
        <w:t xml:space="preserve">this area continues to be </w:t>
      </w:r>
      <w:r w:rsidR="001D385C">
        <w:t xml:space="preserve">a high priority for </w:t>
      </w:r>
      <w:r w:rsidR="00A87651">
        <w:t xml:space="preserve">purposeful expansion and quality </w:t>
      </w:r>
      <w:r w:rsidR="001D385C">
        <w:t xml:space="preserve">improvement.  </w:t>
      </w:r>
    </w:p>
    <w:p w:rsidR="00C237F8" w:rsidRDefault="00C237F8" w:rsidP="00C237F8">
      <w:pPr>
        <w:pStyle w:val="Heading2"/>
      </w:pPr>
      <w:r>
        <w:t>Sources</w:t>
      </w:r>
    </w:p>
    <w:p w:rsidR="00C237F8" w:rsidRDefault="00C237F8" w:rsidP="00072109">
      <w:pPr>
        <w:pStyle w:val="NoSpacing"/>
        <w:numPr>
          <w:ilvl w:val="0"/>
          <w:numId w:val="7"/>
        </w:numPr>
        <w:ind w:left="252" w:hanging="252"/>
        <w:rPr>
          <w:sz w:val="20"/>
          <w:szCs w:val="20"/>
        </w:rPr>
      </w:pPr>
      <w:r w:rsidRPr="00006CA8">
        <w:rPr>
          <w:sz w:val="20"/>
          <w:szCs w:val="20"/>
        </w:rPr>
        <w:t xml:space="preserve">List and requirements of degree programs in Bulletin </w:t>
      </w:r>
    </w:p>
    <w:p w:rsidR="00CE423B" w:rsidRPr="00006CA8" w:rsidRDefault="00CE423B" w:rsidP="00072109">
      <w:pPr>
        <w:pStyle w:val="NoSpacing"/>
        <w:numPr>
          <w:ilvl w:val="0"/>
          <w:numId w:val="7"/>
        </w:numPr>
        <w:ind w:left="252" w:hanging="252"/>
        <w:rPr>
          <w:sz w:val="20"/>
          <w:szCs w:val="20"/>
        </w:rPr>
      </w:pPr>
      <w:r>
        <w:rPr>
          <w:sz w:val="20"/>
          <w:szCs w:val="20"/>
        </w:rPr>
        <w:t>MUPIM, section 11 on explanations of curricular approvals</w:t>
      </w:r>
    </w:p>
    <w:p w:rsidR="009C6B62" w:rsidRDefault="009C6B62" w:rsidP="00072109">
      <w:pPr>
        <w:pStyle w:val="NoSpacing"/>
        <w:numPr>
          <w:ilvl w:val="0"/>
          <w:numId w:val="7"/>
        </w:numPr>
        <w:ind w:left="252" w:hanging="252"/>
        <w:rPr>
          <w:sz w:val="20"/>
          <w:szCs w:val="20"/>
        </w:rPr>
      </w:pPr>
      <w:r>
        <w:rPr>
          <w:sz w:val="20"/>
          <w:szCs w:val="20"/>
        </w:rPr>
        <w:t>Curricular proposal forms (available on Registrar’s website)</w:t>
      </w:r>
    </w:p>
    <w:p w:rsidR="00C237F8" w:rsidRPr="00006CA8" w:rsidRDefault="009872EF" w:rsidP="00072109">
      <w:pPr>
        <w:pStyle w:val="NoSpacing"/>
        <w:numPr>
          <w:ilvl w:val="0"/>
          <w:numId w:val="7"/>
        </w:numPr>
        <w:ind w:left="252" w:hanging="252"/>
        <w:rPr>
          <w:sz w:val="20"/>
          <w:szCs w:val="20"/>
        </w:rPr>
      </w:pPr>
      <w:r>
        <w:rPr>
          <w:sz w:val="20"/>
          <w:szCs w:val="20"/>
        </w:rPr>
        <w:t>OBoR Guidelines and Procedures for Academic Program Review</w:t>
      </w:r>
      <w:r w:rsidR="00C237F8" w:rsidRPr="00006CA8">
        <w:rPr>
          <w:sz w:val="20"/>
          <w:szCs w:val="20"/>
        </w:rPr>
        <w:t xml:space="preserve"> </w:t>
      </w:r>
    </w:p>
    <w:p w:rsidR="00C237F8" w:rsidRPr="00006CA8" w:rsidRDefault="00F146E8" w:rsidP="00072109">
      <w:pPr>
        <w:pStyle w:val="NoSpacing"/>
        <w:numPr>
          <w:ilvl w:val="0"/>
          <w:numId w:val="7"/>
        </w:numPr>
        <w:ind w:left="252" w:hanging="252"/>
        <w:rPr>
          <w:sz w:val="20"/>
          <w:szCs w:val="20"/>
        </w:rPr>
      </w:pPr>
      <w:r>
        <w:rPr>
          <w:sz w:val="20"/>
          <w:szCs w:val="20"/>
        </w:rPr>
        <w:t>List of</w:t>
      </w:r>
      <w:r w:rsidR="00C237F8" w:rsidRPr="00006CA8">
        <w:rPr>
          <w:sz w:val="20"/>
          <w:szCs w:val="20"/>
        </w:rPr>
        <w:t xml:space="preserve"> all Transfer Assurance Guides, RACGs, CTAGs</w:t>
      </w:r>
      <w:r w:rsidR="00254A18">
        <w:rPr>
          <w:sz w:val="20"/>
          <w:szCs w:val="20"/>
        </w:rPr>
        <w:t>, OTMs</w:t>
      </w:r>
    </w:p>
    <w:p w:rsidR="00C237F8" w:rsidRPr="00006CA8" w:rsidRDefault="00C237F8" w:rsidP="00072109">
      <w:pPr>
        <w:pStyle w:val="NoSpacing"/>
        <w:numPr>
          <w:ilvl w:val="0"/>
          <w:numId w:val="7"/>
        </w:numPr>
        <w:ind w:left="252" w:hanging="252"/>
        <w:rPr>
          <w:sz w:val="20"/>
          <w:szCs w:val="20"/>
        </w:rPr>
      </w:pPr>
      <w:r w:rsidRPr="00006CA8">
        <w:rPr>
          <w:sz w:val="20"/>
          <w:szCs w:val="20"/>
        </w:rPr>
        <w:t>List of learning goals</w:t>
      </w:r>
      <w:r w:rsidR="00925584">
        <w:rPr>
          <w:sz w:val="20"/>
          <w:szCs w:val="20"/>
        </w:rPr>
        <w:t>/outcomes</w:t>
      </w:r>
      <w:r w:rsidRPr="00006CA8">
        <w:rPr>
          <w:sz w:val="20"/>
          <w:szCs w:val="20"/>
        </w:rPr>
        <w:t xml:space="preserve"> for all degree programs </w:t>
      </w:r>
      <w:r w:rsidR="00651134">
        <w:rPr>
          <w:sz w:val="20"/>
          <w:szCs w:val="20"/>
        </w:rPr>
        <w:t xml:space="preserve">visible on Provost/CELTUA </w:t>
      </w:r>
      <w:r w:rsidR="00925584">
        <w:rPr>
          <w:sz w:val="20"/>
          <w:szCs w:val="20"/>
        </w:rPr>
        <w:t>website</w:t>
      </w:r>
    </w:p>
    <w:p w:rsidR="00DF347D" w:rsidRDefault="00254A18" w:rsidP="00072109">
      <w:pPr>
        <w:pStyle w:val="NoSpacing"/>
        <w:numPr>
          <w:ilvl w:val="0"/>
          <w:numId w:val="7"/>
        </w:numPr>
        <w:ind w:left="252" w:hanging="252"/>
        <w:rPr>
          <w:sz w:val="20"/>
          <w:szCs w:val="20"/>
        </w:rPr>
      </w:pPr>
      <w:r>
        <w:rPr>
          <w:sz w:val="20"/>
          <w:szCs w:val="20"/>
        </w:rPr>
        <w:t xml:space="preserve">Assessment Brief on </w:t>
      </w:r>
      <w:r w:rsidR="001B1551">
        <w:rPr>
          <w:sz w:val="20"/>
          <w:szCs w:val="20"/>
        </w:rPr>
        <w:t>“</w:t>
      </w:r>
      <w:r>
        <w:rPr>
          <w:sz w:val="20"/>
          <w:szCs w:val="20"/>
        </w:rPr>
        <w:t>Assuring Quality</w:t>
      </w:r>
      <w:r w:rsidR="001B1551">
        <w:rPr>
          <w:sz w:val="20"/>
          <w:szCs w:val="20"/>
        </w:rPr>
        <w:t>”</w:t>
      </w:r>
      <w:r>
        <w:rPr>
          <w:sz w:val="20"/>
          <w:szCs w:val="20"/>
        </w:rPr>
        <w:t xml:space="preserve"> Self-Study (ask Andrea Bakker)</w:t>
      </w:r>
    </w:p>
    <w:p w:rsidR="001B1551" w:rsidRPr="00006CA8" w:rsidRDefault="001B1551" w:rsidP="00072109">
      <w:pPr>
        <w:pStyle w:val="NoSpacing"/>
        <w:numPr>
          <w:ilvl w:val="0"/>
          <w:numId w:val="7"/>
        </w:numPr>
        <w:ind w:left="252" w:hanging="252"/>
        <w:rPr>
          <w:sz w:val="20"/>
          <w:szCs w:val="20"/>
        </w:rPr>
      </w:pPr>
      <w:r>
        <w:rPr>
          <w:sz w:val="20"/>
          <w:szCs w:val="20"/>
        </w:rPr>
        <w:t>Graduate Program Review Report or Description</w:t>
      </w:r>
    </w:p>
    <w:p w:rsidR="00C237F8" w:rsidRPr="00006CA8" w:rsidRDefault="00C237F8" w:rsidP="00072109">
      <w:pPr>
        <w:pStyle w:val="NoSpacing"/>
        <w:numPr>
          <w:ilvl w:val="0"/>
          <w:numId w:val="7"/>
        </w:numPr>
        <w:ind w:left="252" w:hanging="252"/>
        <w:rPr>
          <w:sz w:val="20"/>
          <w:szCs w:val="20"/>
        </w:rPr>
      </w:pPr>
      <w:r w:rsidRPr="00006CA8">
        <w:rPr>
          <w:sz w:val="20"/>
          <w:szCs w:val="20"/>
        </w:rPr>
        <w:t xml:space="preserve">Graduate School Guidelines on Learning Outcomes </w:t>
      </w:r>
    </w:p>
    <w:p w:rsidR="00C237F8" w:rsidRPr="00006CA8" w:rsidRDefault="00C237F8" w:rsidP="00072109">
      <w:pPr>
        <w:pStyle w:val="NoSpacing"/>
        <w:numPr>
          <w:ilvl w:val="0"/>
          <w:numId w:val="7"/>
        </w:numPr>
        <w:ind w:left="252" w:hanging="252"/>
        <w:rPr>
          <w:sz w:val="20"/>
          <w:szCs w:val="20"/>
        </w:rPr>
      </w:pPr>
      <w:r w:rsidRPr="00006CA8">
        <w:rPr>
          <w:sz w:val="20"/>
          <w:szCs w:val="20"/>
        </w:rPr>
        <w:t>Quality Initiative Project Report on Degree Qualifications Profile</w:t>
      </w:r>
    </w:p>
    <w:p w:rsidR="00C237F8" w:rsidRDefault="00C237F8" w:rsidP="00072109">
      <w:pPr>
        <w:pStyle w:val="NoSpacing"/>
        <w:numPr>
          <w:ilvl w:val="0"/>
          <w:numId w:val="7"/>
        </w:numPr>
        <w:ind w:left="252" w:hanging="252"/>
        <w:rPr>
          <w:sz w:val="20"/>
          <w:szCs w:val="20"/>
        </w:rPr>
      </w:pPr>
      <w:r w:rsidRPr="00006CA8">
        <w:rPr>
          <w:sz w:val="20"/>
          <w:szCs w:val="20"/>
        </w:rPr>
        <w:t>Dual enrollment guidelines; guidelines for offering courses owned by one division in another division</w:t>
      </w:r>
    </w:p>
    <w:p w:rsidR="00254A18" w:rsidRPr="00254A18" w:rsidRDefault="00254A18" w:rsidP="00254A18">
      <w:pPr>
        <w:pStyle w:val="NoSpacing"/>
        <w:numPr>
          <w:ilvl w:val="0"/>
          <w:numId w:val="7"/>
        </w:numPr>
        <w:ind w:left="252" w:hanging="252"/>
        <w:rPr>
          <w:sz w:val="20"/>
          <w:szCs w:val="20"/>
        </w:rPr>
      </w:pPr>
      <w:r>
        <w:rPr>
          <w:sz w:val="20"/>
          <w:szCs w:val="20"/>
        </w:rPr>
        <w:t>Deleting courses guidelines</w:t>
      </w:r>
    </w:p>
    <w:p w:rsidR="005D71F7" w:rsidRDefault="00651134" w:rsidP="00072109">
      <w:pPr>
        <w:pStyle w:val="NoSpacing"/>
        <w:numPr>
          <w:ilvl w:val="0"/>
          <w:numId w:val="7"/>
        </w:numPr>
        <w:ind w:left="252" w:hanging="252"/>
        <w:rPr>
          <w:sz w:val="20"/>
          <w:szCs w:val="20"/>
        </w:rPr>
      </w:pPr>
      <w:r>
        <w:rPr>
          <w:sz w:val="20"/>
          <w:szCs w:val="20"/>
        </w:rPr>
        <w:t>MUDEC manual</w:t>
      </w:r>
    </w:p>
    <w:p w:rsidR="005D71F7" w:rsidRPr="005D71F7" w:rsidRDefault="005D71F7" w:rsidP="00072109">
      <w:pPr>
        <w:pStyle w:val="NoSpacing"/>
        <w:numPr>
          <w:ilvl w:val="0"/>
          <w:numId w:val="7"/>
        </w:numPr>
        <w:ind w:left="252" w:hanging="252"/>
        <w:rPr>
          <w:sz w:val="20"/>
          <w:szCs w:val="20"/>
        </w:rPr>
      </w:pPr>
      <w:r w:rsidRPr="005D71F7">
        <w:rPr>
          <w:sz w:val="20"/>
          <w:szCs w:val="20"/>
        </w:rPr>
        <w:t>Service Learning White Paper [http://www.miamioh.edu/documents/student-life/activities-and-leadership/community-engagement/service-learning-docs/sl-white-paper]</w:t>
      </w:r>
    </w:p>
    <w:p w:rsidR="00C237F8" w:rsidRPr="00925584" w:rsidRDefault="00C237F8" w:rsidP="00072109">
      <w:pPr>
        <w:pStyle w:val="NoSpacing"/>
        <w:numPr>
          <w:ilvl w:val="0"/>
          <w:numId w:val="7"/>
        </w:numPr>
        <w:ind w:left="252" w:hanging="252"/>
        <w:rPr>
          <w:sz w:val="20"/>
          <w:szCs w:val="20"/>
        </w:rPr>
      </w:pPr>
      <w:r w:rsidRPr="00006CA8">
        <w:rPr>
          <w:sz w:val="20"/>
          <w:szCs w:val="20"/>
        </w:rPr>
        <w:t>ELAC Report</w:t>
      </w:r>
      <w:r w:rsidR="00DF347D">
        <w:rPr>
          <w:sz w:val="20"/>
          <w:szCs w:val="20"/>
        </w:rPr>
        <w:t>; E-Learning Guidelines, CAS E-Learning Standards</w:t>
      </w:r>
    </w:p>
    <w:p w:rsidR="00C237F8" w:rsidRDefault="00C237F8" w:rsidP="00072109">
      <w:pPr>
        <w:pStyle w:val="NoSpacing"/>
        <w:numPr>
          <w:ilvl w:val="0"/>
          <w:numId w:val="7"/>
        </w:numPr>
        <w:ind w:left="252" w:hanging="252"/>
        <w:rPr>
          <w:sz w:val="20"/>
          <w:szCs w:val="20"/>
        </w:rPr>
      </w:pPr>
      <w:r w:rsidRPr="00006CA8">
        <w:rPr>
          <w:sz w:val="20"/>
          <w:szCs w:val="20"/>
        </w:rPr>
        <w:t>Regional Campus E-Learning Guidelines &amp; Procedures</w:t>
      </w:r>
    </w:p>
    <w:p w:rsidR="00254A18" w:rsidRDefault="00254A18" w:rsidP="00072109">
      <w:pPr>
        <w:pStyle w:val="NoSpacing"/>
        <w:numPr>
          <w:ilvl w:val="0"/>
          <w:numId w:val="7"/>
        </w:numPr>
        <w:ind w:left="252" w:hanging="252"/>
        <w:rPr>
          <w:sz w:val="20"/>
          <w:szCs w:val="20"/>
        </w:rPr>
      </w:pPr>
      <w:r>
        <w:rPr>
          <w:sz w:val="20"/>
          <w:szCs w:val="20"/>
        </w:rPr>
        <w:lastRenderedPageBreak/>
        <w:t>Report on Graduate Programs Review</w:t>
      </w:r>
    </w:p>
    <w:p w:rsidR="009429D4" w:rsidRDefault="009429D4" w:rsidP="009429D4">
      <w:pPr>
        <w:pStyle w:val="NoSpacing"/>
        <w:numPr>
          <w:ilvl w:val="0"/>
          <w:numId w:val="7"/>
        </w:numPr>
        <w:ind w:left="252" w:hanging="252"/>
        <w:rPr>
          <w:sz w:val="20"/>
          <w:szCs w:val="20"/>
        </w:rPr>
      </w:pPr>
      <w:r w:rsidRPr="00006CA8">
        <w:rPr>
          <w:sz w:val="20"/>
          <w:szCs w:val="20"/>
        </w:rPr>
        <w:t>Shared Futures Report</w:t>
      </w:r>
    </w:p>
    <w:p w:rsidR="00A2465F" w:rsidRDefault="00A2465F" w:rsidP="009429D4">
      <w:pPr>
        <w:pStyle w:val="NoSpacing"/>
        <w:numPr>
          <w:ilvl w:val="0"/>
          <w:numId w:val="7"/>
        </w:numPr>
        <w:ind w:left="252" w:hanging="252"/>
        <w:rPr>
          <w:sz w:val="20"/>
          <w:szCs w:val="20"/>
        </w:rPr>
      </w:pPr>
      <w:r>
        <w:rPr>
          <w:sz w:val="20"/>
          <w:szCs w:val="20"/>
        </w:rPr>
        <w:t>Guidelines and process for reviewing assessment reports (created by CELTUA for divisional curricular committees)</w:t>
      </w:r>
    </w:p>
    <w:p w:rsidR="001B1551" w:rsidRPr="009429D4" w:rsidRDefault="001B1551" w:rsidP="009429D4">
      <w:pPr>
        <w:pStyle w:val="NoSpacing"/>
        <w:numPr>
          <w:ilvl w:val="0"/>
          <w:numId w:val="7"/>
        </w:numPr>
        <w:ind w:left="252" w:hanging="252"/>
        <w:rPr>
          <w:sz w:val="20"/>
          <w:szCs w:val="20"/>
        </w:rPr>
      </w:pPr>
      <w:r>
        <w:rPr>
          <w:sz w:val="20"/>
          <w:szCs w:val="20"/>
        </w:rPr>
        <w:t>MUDEC handbook</w:t>
      </w:r>
    </w:p>
    <w:p w:rsidR="008A6593" w:rsidRDefault="008A6593">
      <w:pPr>
        <w:rPr>
          <w:b/>
          <w:bCs/>
          <w:spacing w:val="5"/>
          <w:sz w:val="24"/>
          <w:szCs w:val="24"/>
        </w:rPr>
      </w:pPr>
      <w:r>
        <w:br w:type="page"/>
      </w:r>
    </w:p>
    <w:p w:rsidR="006403BA" w:rsidRPr="00C345E6" w:rsidRDefault="006403BA" w:rsidP="006403BA">
      <w:pPr>
        <w:pStyle w:val="Heading4"/>
        <w:ind w:left="720" w:hanging="720"/>
      </w:pPr>
      <w:r w:rsidRPr="00C345E6">
        <w:lastRenderedPageBreak/>
        <w:t>3.B</w:t>
      </w:r>
      <w:r>
        <w:t xml:space="preserve">. </w:t>
      </w:r>
      <w:r>
        <w:tab/>
      </w:r>
      <w:r w:rsidRPr="00C345E6">
        <w:t>The institution demonstrates that the exercise of intellectual inquiry and the acquisition, application, and integration of broad learning and skills are integral to its educational programs.</w:t>
      </w:r>
    </w:p>
    <w:p w:rsidR="006403BA" w:rsidRPr="006403BA" w:rsidRDefault="006403BA" w:rsidP="006403BA">
      <w:pPr>
        <w:pStyle w:val="Heading5"/>
        <w:ind w:left="720" w:hanging="720"/>
        <w:rPr>
          <w:sz w:val="22"/>
          <w:szCs w:val="22"/>
        </w:rPr>
      </w:pPr>
      <w:r>
        <w:rPr>
          <w:sz w:val="22"/>
          <w:szCs w:val="22"/>
        </w:rPr>
        <w:t>3.B.1.</w:t>
      </w:r>
      <w:r>
        <w:rPr>
          <w:sz w:val="22"/>
          <w:szCs w:val="22"/>
        </w:rPr>
        <w:tab/>
      </w:r>
      <w:r w:rsidRPr="006403BA">
        <w:rPr>
          <w:sz w:val="22"/>
          <w:szCs w:val="22"/>
        </w:rPr>
        <w:t>The general education program is appropriate to the mission, educational offerings, and degree levels of the institution.</w:t>
      </w:r>
    </w:p>
    <w:p w:rsidR="006403BA" w:rsidRPr="006403BA" w:rsidRDefault="006403BA" w:rsidP="006403BA">
      <w:pPr>
        <w:pStyle w:val="Heading5"/>
        <w:ind w:left="720" w:hanging="720"/>
        <w:rPr>
          <w:sz w:val="22"/>
          <w:szCs w:val="22"/>
        </w:rPr>
      </w:pPr>
      <w:r>
        <w:rPr>
          <w:sz w:val="22"/>
          <w:szCs w:val="22"/>
        </w:rPr>
        <w:t>3.B.2.</w:t>
      </w:r>
      <w:r>
        <w:rPr>
          <w:sz w:val="22"/>
          <w:szCs w:val="22"/>
        </w:rPr>
        <w:tab/>
      </w:r>
      <w:r w:rsidRPr="006403BA">
        <w:rPr>
          <w:sz w:val="22"/>
          <w:szCs w:val="22"/>
        </w:rPr>
        <w:t>The institution articulates the purposes, content, and intended learning outcomes of its undergraduate general education requirements.  The program of general education is grounded in a philosophy or framework developed by the institution or adopted from an established framework.  It imparts broad knowledge and intellectual concepts to students and develops skills and attitudes that the institution believes every college-educated person should possess.</w:t>
      </w:r>
    </w:p>
    <w:p w:rsidR="006403BA" w:rsidRPr="006403BA" w:rsidRDefault="006403BA" w:rsidP="006403BA">
      <w:pPr>
        <w:pStyle w:val="Heading5"/>
        <w:ind w:left="720" w:hanging="720"/>
        <w:rPr>
          <w:sz w:val="22"/>
          <w:szCs w:val="22"/>
        </w:rPr>
      </w:pPr>
      <w:r w:rsidRPr="006403BA">
        <w:rPr>
          <w:sz w:val="22"/>
          <w:szCs w:val="22"/>
        </w:rPr>
        <w:t>3.B.3.</w:t>
      </w:r>
      <w:r>
        <w:rPr>
          <w:sz w:val="22"/>
          <w:szCs w:val="22"/>
        </w:rPr>
        <w:tab/>
      </w:r>
      <w:r w:rsidRPr="006403BA">
        <w:rPr>
          <w:sz w:val="22"/>
          <w:szCs w:val="22"/>
        </w:rPr>
        <w:t>Every degree program offered by the institution engages students in collecting, analyzing, and   communicating information; in mastering modes of inquiry or creative work; and in developing skills adaptable to changing environments.</w:t>
      </w:r>
    </w:p>
    <w:p w:rsidR="006403BA" w:rsidRPr="006403BA" w:rsidRDefault="006403BA" w:rsidP="006403BA">
      <w:pPr>
        <w:pStyle w:val="Heading5"/>
        <w:ind w:left="720" w:hanging="720"/>
        <w:rPr>
          <w:sz w:val="22"/>
          <w:szCs w:val="22"/>
        </w:rPr>
      </w:pPr>
      <w:r>
        <w:rPr>
          <w:sz w:val="22"/>
          <w:szCs w:val="22"/>
        </w:rPr>
        <w:t>3.B.4.</w:t>
      </w:r>
      <w:r>
        <w:rPr>
          <w:sz w:val="22"/>
          <w:szCs w:val="22"/>
        </w:rPr>
        <w:tab/>
      </w:r>
      <w:r w:rsidRPr="006403BA">
        <w:rPr>
          <w:sz w:val="22"/>
          <w:szCs w:val="22"/>
        </w:rPr>
        <w:t>The education offered by the institution recognizes the human and cultural diversity of the world in which students live and work.</w:t>
      </w:r>
    </w:p>
    <w:p w:rsidR="006403BA" w:rsidRPr="006403BA" w:rsidRDefault="006403BA" w:rsidP="006403BA">
      <w:pPr>
        <w:pStyle w:val="Heading5"/>
        <w:ind w:left="720" w:hanging="720"/>
        <w:rPr>
          <w:sz w:val="22"/>
          <w:szCs w:val="22"/>
        </w:rPr>
      </w:pPr>
      <w:r w:rsidRPr="006403BA">
        <w:rPr>
          <w:sz w:val="22"/>
          <w:szCs w:val="22"/>
        </w:rPr>
        <w:t xml:space="preserve">3.B.5.  </w:t>
      </w:r>
      <w:r>
        <w:rPr>
          <w:sz w:val="22"/>
          <w:szCs w:val="22"/>
        </w:rPr>
        <w:tab/>
      </w:r>
      <w:r w:rsidRPr="006403BA">
        <w:rPr>
          <w:sz w:val="22"/>
          <w:szCs w:val="22"/>
        </w:rPr>
        <w:t>The faculty and students contribute to scholarship, creative work, and the discovery of knowledge to the extent appropriate to their programs and the institution’s mission.</w:t>
      </w:r>
    </w:p>
    <w:p w:rsidR="006403BA" w:rsidRDefault="006403BA" w:rsidP="006403BA">
      <w:pPr>
        <w:pStyle w:val="Heading2"/>
      </w:pPr>
      <w:r>
        <w:t>Narrative</w:t>
      </w:r>
    </w:p>
    <w:p w:rsidR="00EE2392" w:rsidRDefault="00EE2392" w:rsidP="00EE2392">
      <w:r>
        <w:t xml:space="preserve">Miami University was founded on the belief that a liberal education provides the best possible framework for life in a changing world. </w:t>
      </w:r>
      <w:r w:rsidR="00387638">
        <w:t xml:space="preserve">At Miami, </w:t>
      </w:r>
      <w:r w:rsidR="00855C6F">
        <w:t>l</w:t>
      </w:r>
      <w:r>
        <w:t>iberal education compleme</w:t>
      </w:r>
      <w:r w:rsidR="00855C6F">
        <w:t xml:space="preserve">nts specialized studies in the </w:t>
      </w:r>
      <w:r>
        <w:t xml:space="preserve">major and provides a broadened context for exploring social, academic, political, and professional choices. It is designed to help students understand and creatively transform human culture and society by giving students the tools to ask questions, examine assumptions, exchange </w:t>
      </w:r>
      <w:r w:rsidR="00802F3A">
        <w:t xml:space="preserve">views with others, and become </w:t>
      </w:r>
      <w:r>
        <w:t>better global citizen</w:t>
      </w:r>
      <w:r w:rsidR="00802F3A">
        <w:t>s</w:t>
      </w:r>
      <w:r>
        <w:t>.</w:t>
      </w:r>
    </w:p>
    <w:p w:rsidR="00D07448" w:rsidRPr="00915DC0" w:rsidRDefault="0036797B" w:rsidP="00D07448">
      <w:pPr>
        <w:rPr>
          <w:lang w:bidi="hi-IN"/>
        </w:rPr>
      </w:pPr>
      <w:r>
        <w:t>Toward</w:t>
      </w:r>
      <w:r w:rsidR="008F6A41">
        <w:t xml:space="preserve"> that end, from 2012-2014, the u</w:t>
      </w:r>
      <w:r>
        <w:t>niversity devoted considerable energy and time to revising its Global Miami Plan requireme</w:t>
      </w:r>
      <w:r w:rsidR="00D07448">
        <w:t xml:space="preserve">nts. </w:t>
      </w:r>
      <w:r w:rsidR="00D07448">
        <w:rPr>
          <w:lang w:bidi="hi-IN"/>
        </w:rPr>
        <w:t xml:space="preserve"> Key goals of the revision were to:</w:t>
      </w:r>
    </w:p>
    <w:p w:rsidR="00D07448" w:rsidRPr="007B6127" w:rsidRDefault="00D07448" w:rsidP="000945E2">
      <w:pPr>
        <w:pStyle w:val="ListParagraph"/>
        <w:numPr>
          <w:ilvl w:val="0"/>
          <w:numId w:val="41"/>
        </w:numPr>
        <w:jc w:val="both"/>
      </w:pPr>
      <w:r w:rsidRPr="007B6127">
        <w:t>Advance 21st century learning outcomes (based on AAC&amp;U’s LEAP outcomes and employer studies)</w:t>
      </w:r>
      <w:r w:rsidR="002C6CBC">
        <w:t>;</w:t>
      </w:r>
    </w:p>
    <w:p w:rsidR="00D07448" w:rsidRDefault="00D07448" w:rsidP="000945E2">
      <w:pPr>
        <w:pStyle w:val="ListParagraph"/>
        <w:numPr>
          <w:ilvl w:val="0"/>
          <w:numId w:val="41"/>
        </w:numPr>
        <w:jc w:val="both"/>
      </w:pPr>
      <w:r w:rsidRPr="007B6127">
        <w:t>Include a meaningful and efficient assessment plan</w:t>
      </w:r>
      <w:r w:rsidR="002C6CBC">
        <w:t>;</w:t>
      </w:r>
    </w:p>
    <w:p w:rsidR="00D07448" w:rsidRPr="007B6127" w:rsidRDefault="00D07448" w:rsidP="000945E2">
      <w:pPr>
        <w:pStyle w:val="ListParagraph"/>
        <w:numPr>
          <w:ilvl w:val="0"/>
          <w:numId w:val="41"/>
        </w:numPr>
        <w:jc w:val="both"/>
      </w:pPr>
      <w:r>
        <w:t>E</w:t>
      </w:r>
      <w:r w:rsidRPr="007B6127">
        <w:t>nable greater flexibility in degree options and ease advisement</w:t>
      </w:r>
      <w:r w:rsidR="002C6CBC">
        <w:t>;</w:t>
      </w:r>
    </w:p>
    <w:p w:rsidR="00D07448" w:rsidRPr="007B6127" w:rsidRDefault="00D07448" w:rsidP="000945E2">
      <w:pPr>
        <w:pStyle w:val="ListParagraph"/>
        <w:numPr>
          <w:ilvl w:val="0"/>
          <w:numId w:val="41"/>
        </w:numPr>
        <w:jc w:val="both"/>
      </w:pPr>
      <w:r w:rsidRPr="007B6127">
        <w:t>Follow the state requirements for general education (</w:t>
      </w:r>
      <w:hyperlink r:id="rId26" w:history="1">
        <w:r w:rsidRPr="007B6127">
          <w:rPr>
            <w:rStyle w:val="Hyperlink"/>
          </w:rPr>
          <w:t>Ohio Transfer Module</w:t>
        </w:r>
      </w:hyperlink>
      <w:r w:rsidRPr="007B6127">
        <w:t>)</w:t>
      </w:r>
      <w:r w:rsidR="002C6CBC">
        <w:t>;</w:t>
      </w:r>
    </w:p>
    <w:p w:rsidR="00D07448" w:rsidRPr="007B6127" w:rsidRDefault="00D07448" w:rsidP="000945E2">
      <w:pPr>
        <w:pStyle w:val="ListParagraph"/>
        <w:numPr>
          <w:ilvl w:val="0"/>
          <w:numId w:val="41"/>
        </w:numPr>
        <w:jc w:val="both"/>
      </w:pPr>
      <w:r w:rsidRPr="007B6127">
        <w:t xml:space="preserve">Promote the aims of the </w:t>
      </w:r>
      <w:hyperlink r:id="rId27" w:history="1">
        <w:r w:rsidRPr="007B6127">
          <w:rPr>
            <w:rStyle w:val="Hyperlink"/>
          </w:rPr>
          <w:t>Miami 2020 Plan</w:t>
        </w:r>
      </w:hyperlink>
      <w:r w:rsidR="002C6CBC" w:rsidRPr="000E77CC">
        <w:rPr>
          <w:rStyle w:val="NoSpacingChar"/>
        </w:rPr>
        <w:t>; and</w:t>
      </w:r>
    </w:p>
    <w:p w:rsidR="00D07448" w:rsidRPr="007B6127" w:rsidRDefault="00D07448" w:rsidP="000945E2">
      <w:pPr>
        <w:pStyle w:val="ListParagraph"/>
        <w:numPr>
          <w:ilvl w:val="0"/>
          <w:numId w:val="41"/>
        </w:numPr>
        <w:jc w:val="both"/>
      </w:pPr>
      <w:r w:rsidRPr="007B6127">
        <w:t>Be mindful of the human and financial resources.</w:t>
      </w:r>
    </w:p>
    <w:p w:rsidR="00A00EB0" w:rsidRDefault="00D07448" w:rsidP="00EE2392">
      <w:r>
        <w:t>The new plan underwent four ma</w:t>
      </w:r>
      <w:r w:rsidR="00DB402E">
        <w:t>jor revisions with each new version drawing from extensive</w:t>
      </w:r>
      <w:r>
        <w:t xml:space="preserve"> feedback</w:t>
      </w:r>
      <w:r w:rsidR="00B76F40">
        <w:t xml:space="preserve"> gathered</w:t>
      </w:r>
      <w:r w:rsidR="00A00EB0">
        <w:t xml:space="preserve"> </w:t>
      </w:r>
      <w:r w:rsidR="00B57C43">
        <w:t xml:space="preserve">from the entire Miami community, </w:t>
      </w:r>
      <w:r w:rsidR="00A00EB0">
        <w:t>via surveys, open sessions, public presentations, website communications, and divisional and departmental meetings</w:t>
      </w:r>
      <w:r>
        <w:t xml:space="preserve">.  </w:t>
      </w:r>
    </w:p>
    <w:p w:rsidR="007D51B4" w:rsidRDefault="00DB402E" w:rsidP="00EE2392">
      <w:r>
        <w:t>The final</w:t>
      </w:r>
      <w:r w:rsidR="00387638">
        <w:t xml:space="preserve"> plan was approved by the Board of Trustees in June 2014</w:t>
      </w:r>
      <w:r>
        <w:t xml:space="preserve"> and will be implemented beginning fall 2015.  </w:t>
      </w:r>
      <w:r w:rsidR="004238F2" w:rsidRPr="00917727">
        <w:rPr>
          <w:i/>
        </w:rPr>
        <w:t>All</w:t>
      </w:r>
      <w:r w:rsidR="004238F2">
        <w:t xml:space="preserve"> undergraduat</w:t>
      </w:r>
      <w:r>
        <w:t>e students at Miami will be</w:t>
      </w:r>
      <w:r w:rsidR="00B57C43">
        <w:t xml:space="preserve"> required</w:t>
      </w:r>
      <w:r w:rsidR="004238F2">
        <w:t xml:space="preserve"> to complete the GMP requirements</w:t>
      </w:r>
      <w:r w:rsidR="007F6969">
        <w:t xml:space="preserve"> which total 42 credits</w:t>
      </w:r>
      <w:r w:rsidR="004238F2">
        <w:t xml:space="preserve">.  </w:t>
      </w:r>
      <w:r w:rsidR="00B57C43">
        <w:t>Grounded in the AAC&amp;U LEAP framework, t</w:t>
      </w:r>
      <w:r w:rsidR="00512BA7">
        <w:t xml:space="preserve">he newly revised </w:t>
      </w:r>
      <w:r w:rsidR="004238F2">
        <w:t>GMP</w:t>
      </w:r>
      <w:r w:rsidR="00B57C43">
        <w:t xml:space="preserve"> </w:t>
      </w:r>
      <w:r w:rsidR="00512BA7">
        <w:t xml:space="preserve">seeks to advance </w:t>
      </w:r>
      <w:r w:rsidR="000148C6">
        <w:t xml:space="preserve">intellectual and practical skills, personal and social responsibility, as well as applied and integrative learning. </w:t>
      </w:r>
      <w:r w:rsidR="00B57C43">
        <w:t>Given the emphasis of liberal education in Miami’s</w:t>
      </w:r>
      <w:r w:rsidR="00426C54">
        <w:t xml:space="preserve"> mission, the </w:t>
      </w:r>
      <w:r w:rsidR="007D51B4">
        <w:t xml:space="preserve">newly approved </w:t>
      </w:r>
      <w:r w:rsidR="00426C54">
        <w:t xml:space="preserve">Global Miami Plan </w:t>
      </w:r>
      <w:r w:rsidR="00B57C43">
        <w:t>is comprehensive, spanning</w:t>
      </w:r>
      <w:r w:rsidR="00426C54">
        <w:t xml:space="preserve"> all four years of a student’s unde</w:t>
      </w:r>
      <w:r w:rsidR="00B57C43">
        <w:t>rgraduate education and involving</w:t>
      </w:r>
      <w:r w:rsidR="007D51B4">
        <w:t>:</w:t>
      </w:r>
      <w:r w:rsidR="00426C54">
        <w:t xml:space="preserve"> </w:t>
      </w:r>
    </w:p>
    <w:p w:rsidR="007D51B4" w:rsidRDefault="007D51B4" w:rsidP="000945E2">
      <w:pPr>
        <w:pStyle w:val="ListParagraph"/>
        <w:numPr>
          <w:ilvl w:val="0"/>
          <w:numId w:val="40"/>
        </w:numPr>
      </w:pPr>
      <w:r>
        <w:t>foundation courses that focus on the</w:t>
      </w:r>
      <w:r w:rsidR="004D6AAD">
        <w:t xml:space="preserve"> humanities, arts, natural science, mathematics &amp; quantitative reasoning, </w:t>
      </w:r>
      <w:r w:rsidR="000148C6">
        <w:t xml:space="preserve">composition, </w:t>
      </w:r>
      <w:r w:rsidR="00F963A8">
        <w:t xml:space="preserve">and </w:t>
      </w:r>
      <w:r w:rsidR="00B76F40">
        <w:t>global perspectives;</w:t>
      </w:r>
    </w:p>
    <w:p w:rsidR="007D51B4" w:rsidRDefault="00B76F40" w:rsidP="000945E2">
      <w:pPr>
        <w:pStyle w:val="ListParagraph"/>
        <w:numPr>
          <w:ilvl w:val="0"/>
          <w:numId w:val="40"/>
        </w:numPr>
      </w:pPr>
      <w:r>
        <w:lastRenderedPageBreak/>
        <w:t xml:space="preserve">a </w:t>
      </w:r>
      <w:r w:rsidR="007D51B4">
        <w:t xml:space="preserve">thematic </w:t>
      </w:r>
      <w:r w:rsidR="004D6AAD">
        <w:t>sequence</w:t>
      </w:r>
      <w:r w:rsidR="005A203B">
        <w:t xml:space="preserve"> (or a series of courses which include some upper-level ones)</w:t>
      </w:r>
      <w:r w:rsidR="004D6AAD">
        <w:t xml:space="preserve"> focused on a t</w:t>
      </w:r>
      <w:r w:rsidR="005A203B">
        <w:t>opic of study</w:t>
      </w:r>
      <w:r>
        <w:t>;</w:t>
      </w:r>
    </w:p>
    <w:p w:rsidR="007D51B4" w:rsidRDefault="00B76F40" w:rsidP="000945E2">
      <w:pPr>
        <w:pStyle w:val="ListParagraph"/>
        <w:numPr>
          <w:ilvl w:val="0"/>
          <w:numId w:val="40"/>
        </w:numPr>
      </w:pPr>
      <w:r>
        <w:t xml:space="preserve">an </w:t>
      </w:r>
      <w:r w:rsidR="004D6AAD">
        <w:t xml:space="preserve">advanced writing </w:t>
      </w:r>
      <w:r w:rsidR="008F6A41">
        <w:t>course</w:t>
      </w:r>
      <w:r w:rsidR="00622C52">
        <w:t>, an intercultural perspectives course,</w:t>
      </w:r>
      <w:r w:rsidR="008F6A41">
        <w:t xml:space="preserve"> </w:t>
      </w:r>
      <w:r w:rsidR="004D6AAD">
        <w:t xml:space="preserve">and </w:t>
      </w:r>
      <w:r w:rsidR="00622C52">
        <w:t xml:space="preserve">an </w:t>
      </w:r>
      <w:r w:rsidR="004D6AAD">
        <w:t>exp</w:t>
      </w:r>
      <w:r w:rsidR="008F6A41">
        <w:t>eriential learning requirement</w:t>
      </w:r>
      <w:r>
        <w:t>;</w:t>
      </w:r>
      <w:r w:rsidR="004D6AAD">
        <w:t xml:space="preserve"> and </w:t>
      </w:r>
    </w:p>
    <w:p w:rsidR="00512BA7" w:rsidRDefault="00B76F40" w:rsidP="000945E2">
      <w:pPr>
        <w:pStyle w:val="ListParagraph"/>
        <w:numPr>
          <w:ilvl w:val="0"/>
          <w:numId w:val="40"/>
        </w:numPr>
      </w:pPr>
      <w:r>
        <w:t xml:space="preserve">a </w:t>
      </w:r>
      <w:r w:rsidR="004D6AAD">
        <w:t>capstone experience</w:t>
      </w:r>
      <w:r w:rsidR="000E77CC">
        <w:t xml:space="preserve"> that includes a student-l</w:t>
      </w:r>
      <w:r w:rsidR="004D6AAD">
        <w:t xml:space="preserve">ed project.  </w:t>
      </w:r>
    </w:p>
    <w:p w:rsidR="000148C6" w:rsidRDefault="000148C6" w:rsidP="000148C6">
      <w:r>
        <w:t>The revised Global Miami Plan will advance competencies</w:t>
      </w:r>
      <w:r w:rsidR="005A203B">
        <w:t xml:space="preserve"> that are articulat</w:t>
      </w:r>
      <w:r w:rsidR="009B07C5">
        <w:t>ed in the AAC&amp;U VALUE rubrics</w:t>
      </w:r>
      <w:r w:rsidR="00A46C6F">
        <w:t>: critical thinking, civic knowledge and engagement, creative thinking, critical thinking, ethical reasoning, global learning, intercultural knowledge &amp; competence, integrative learning, information literacy, inquiry &amp; analysis, lifelong learning, problem solving, written communication, quantitative literacy, and teamwork.</w:t>
      </w:r>
    </w:p>
    <w:p w:rsidR="00CD26FC" w:rsidRDefault="00073883" w:rsidP="00CD26FC">
      <w:r>
        <w:t xml:space="preserve">Although </w:t>
      </w:r>
      <w:r w:rsidR="005A203B">
        <w:t xml:space="preserve">all of </w:t>
      </w:r>
      <w:r w:rsidR="000148C6" w:rsidRPr="00921AA9">
        <w:t>the above competencies will be promoted in</w:t>
      </w:r>
      <w:r w:rsidR="005A203B">
        <w:t xml:space="preserve"> portions of</w:t>
      </w:r>
      <w:r w:rsidR="000148C6" w:rsidRPr="00921AA9">
        <w:t xml:space="preserve"> the revised Global Miami Plan, critical thinking and written co</w:t>
      </w:r>
      <w:r w:rsidR="000C1616">
        <w:t>mmunication will be embedded</w:t>
      </w:r>
      <w:r w:rsidR="000148C6" w:rsidRPr="00921AA9">
        <w:t xml:space="preserve"> in </w:t>
      </w:r>
      <w:r w:rsidR="000148C6" w:rsidRPr="005A203B">
        <w:rPr>
          <w:i/>
        </w:rPr>
        <w:t>all</w:t>
      </w:r>
      <w:r w:rsidR="000148C6" w:rsidRPr="00921AA9">
        <w:t xml:space="preserve"> compon</w:t>
      </w:r>
      <w:r w:rsidR="007C3484">
        <w:t>ents of the plan</w:t>
      </w:r>
      <w:r w:rsidR="000148C6" w:rsidRPr="00921AA9">
        <w:t xml:space="preserve">. </w:t>
      </w:r>
      <w:r w:rsidR="0036004B">
        <w:t>Each f</w:t>
      </w:r>
      <w:r w:rsidR="000148C6" w:rsidRPr="00073883">
        <w:t>oundation course will incorporat</w:t>
      </w:r>
      <w:r w:rsidR="007C3484">
        <w:t>e written communication, promote</w:t>
      </w:r>
      <w:r w:rsidR="000148C6" w:rsidRPr="00073883">
        <w:t xml:space="preserve"> critical thinking, and advance at least two additional competencies listed above.</w:t>
      </w:r>
      <w:r w:rsidR="0036004B">
        <w:t xml:space="preserve"> </w:t>
      </w:r>
      <w:r w:rsidR="0036004B" w:rsidRPr="0036004B">
        <w:t xml:space="preserve">Each thematic sequence </w:t>
      </w:r>
      <w:r w:rsidRPr="0036004B">
        <w:t xml:space="preserve">will collectively include opportunities for written communication &amp; critical thinking plus advance at least three other competencies.  </w:t>
      </w:r>
      <w:r w:rsidR="0036004B">
        <w:t>The e</w:t>
      </w:r>
      <w:r w:rsidR="0036004B" w:rsidRPr="008646B1">
        <w:t>xperi</w:t>
      </w:r>
      <w:r w:rsidR="0036004B">
        <w:t xml:space="preserve">ential learning requirement </w:t>
      </w:r>
      <w:r w:rsidR="009E20C7">
        <w:t>will advance integrative and lifelong learning</w:t>
      </w:r>
      <w:r w:rsidR="00515DA3">
        <w:t xml:space="preserve"> along with critical thinking and written communication</w:t>
      </w:r>
      <w:r w:rsidR="009E20C7">
        <w:t xml:space="preserve">. </w:t>
      </w:r>
      <w:r w:rsidRPr="0036004B">
        <w:t>Each capstone course includes a sub</w:t>
      </w:r>
      <w:r w:rsidR="00515DA3">
        <w:t xml:space="preserve">stantial </w:t>
      </w:r>
      <w:r w:rsidR="000E77CC">
        <w:t>student-l</w:t>
      </w:r>
      <w:r w:rsidRPr="0036004B">
        <w:t>ed project that encourages students to integrate knowledge gained throughout their undergraduate experience</w:t>
      </w:r>
      <w:r w:rsidR="000C1616">
        <w:t>, promotes inquiry and</w:t>
      </w:r>
      <w:r w:rsidR="009E20C7">
        <w:t xml:space="preserve"> analysis,</w:t>
      </w:r>
      <w:r w:rsidRPr="0036004B">
        <w:t xml:space="preserve"> and involves written communication and critical thinking.  It may also advance other competencies.  </w:t>
      </w:r>
    </w:p>
    <w:p w:rsidR="00FB5245" w:rsidRDefault="00BF0A00" w:rsidP="00E221A4">
      <w:r>
        <w:t>B</w:t>
      </w:r>
      <w:r w:rsidR="00E221A4">
        <w:t>aseline assessment will be done every other year via a writing assignment in the foundation composition course, ENG 111, which students typically complete in their first semester</w:t>
      </w:r>
      <w:r w:rsidR="000C1616">
        <w:t xml:space="preserve"> at Miami</w:t>
      </w:r>
      <w:r w:rsidR="00E221A4">
        <w:t>. Students will be given a writing prompt focusing on their backgrounds and goals as writers and critical thinkers.  Instructors of capstone courses will require a written, student-initiated project that incorporates an opportunity for c</w:t>
      </w:r>
      <w:r w:rsidR="00FB5245">
        <w:t>ritical thinking. ENG 111 and capstone i</w:t>
      </w:r>
      <w:r w:rsidR="00E221A4">
        <w:t>nstructors will be responsible for ensuring that students’ assignments are posted via Miami’s Learning Management System, which will b</w:t>
      </w:r>
      <w:r w:rsidR="000C1616">
        <w:t>e integrated with an</w:t>
      </w:r>
      <w:r w:rsidR="00E221A4">
        <w:t xml:space="preserve"> assessment platform.  </w:t>
      </w:r>
    </w:p>
    <w:p w:rsidR="00E221A4" w:rsidRDefault="00E221A4" w:rsidP="00E221A4">
      <w:r>
        <w:t>A random sample (350-400) of the first-year assignments and a random sample (350-400) of capstone assignments (for a total of 700-800 artifacts) will be</w:t>
      </w:r>
      <w:r w:rsidR="000C1616">
        <w:t xml:space="preserve"> scored every other year by the a team of </w:t>
      </w:r>
      <w:r w:rsidR="00EA0452">
        <w:t>trained faculty</w:t>
      </w:r>
      <w:r>
        <w:t>, librarians,</w:t>
      </w:r>
      <w:r w:rsidR="00EA0452">
        <w:t xml:space="preserve"> and doctoral</w:t>
      </w:r>
      <w:r w:rsidR="000C1616">
        <w:t xml:space="preserve"> students,</w:t>
      </w:r>
      <w:r>
        <w:t xml:space="preserve"> using </w:t>
      </w:r>
      <w:r w:rsidR="00FB5245">
        <w:t xml:space="preserve">modified versions of </w:t>
      </w:r>
      <w:r>
        <w:t>the two AAC&amp;U VALUE rubrics focused on critical thinking and written communication.</w:t>
      </w:r>
    </w:p>
    <w:p w:rsidR="00CD26FC" w:rsidRPr="00160F4D" w:rsidRDefault="00CD26FC" w:rsidP="00CD26FC">
      <w:r>
        <w:t xml:space="preserve">Assessment data on the Global Miami Plan competencies will be analyzed by </w:t>
      </w:r>
      <w:r w:rsidR="00FB5245">
        <w:t>the Liberal Education Council (</w:t>
      </w:r>
      <w:r>
        <w:t>LEC</w:t>
      </w:r>
      <w:r w:rsidR="00FB5245">
        <w:t>)</w:t>
      </w:r>
      <w:r>
        <w:t>, and improvement</w:t>
      </w:r>
      <w:r w:rsidR="000E77CC">
        <w:t xml:space="preserve">s will be made to the </w:t>
      </w:r>
      <w:r w:rsidR="00515DA3">
        <w:t xml:space="preserve">plan’s goals and </w:t>
      </w:r>
      <w:r w:rsidR="000E77CC">
        <w:t xml:space="preserve">criteria, the faculty development program, </w:t>
      </w:r>
      <w:r>
        <w:t xml:space="preserve">or </w:t>
      </w:r>
      <w:r w:rsidR="000E77CC">
        <w:t>the overall assessment plan</w:t>
      </w:r>
      <w:r>
        <w:t xml:space="preserve"> to ensure a high quality liberal education program.  At least once every five years, LEC will conduct additional assessment and evaluation of various components</w:t>
      </w:r>
      <w:r w:rsidR="00515DA3">
        <w:t xml:space="preserve"> of the Global Miami Plan.  The</w:t>
      </w:r>
      <w:r>
        <w:t xml:space="preserve"> five-year evaluation and assessment will involve: random syllabi review of each component of the plan, student and faculty surveys on the GMP, and review of the aggregate responses to the online course evaluation questions focusing on liberal education.</w:t>
      </w:r>
    </w:p>
    <w:p w:rsidR="00CD26FC" w:rsidRDefault="0087565F" w:rsidP="00632AA6">
      <w:r>
        <w:t>Under the new plan, a</w:t>
      </w:r>
      <w:r w:rsidR="003C2881">
        <w:t xml:space="preserve">ll GMP courses </w:t>
      </w:r>
      <w:r w:rsidR="00BF0A00">
        <w:t xml:space="preserve">will </w:t>
      </w:r>
      <w:r w:rsidR="003C2881">
        <w:t>undergo review and approval b</w:t>
      </w:r>
      <w:r w:rsidR="00306EDA">
        <w:t xml:space="preserve">y the Liberal Education Council (LEC) </w:t>
      </w:r>
      <w:r w:rsidR="003C2881">
        <w:t xml:space="preserve">which not only assesses whether appropriate competencies are being advanced but also </w:t>
      </w:r>
      <w:r w:rsidR="00A02FD1">
        <w:t xml:space="preserve">(and in partnership with key centers across the university) </w:t>
      </w:r>
      <w:r w:rsidR="003C2881">
        <w:t xml:space="preserve">provides training for faculty who </w:t>
      </w:r>
      <w:r w:rsidR="00293515">
        <w:t xml:space="preserve">need additional support in aligning their courses </w:t>
      </w:r>
      <w:r w:rsidR="003C2881">
        <w:t xml:space="preserve">with expectations.  </w:t>
      </w:r>
      <w:r w:rsidR="00293515">
        <w:t>In addition</w:t>
      </w:r>
      <w:r w:rsidR="00306EDA">
        <w:t>, d</w:t>
      </w:r>
      <w:r w:rsidR="00632AA6">
        <w:t>uring each department’s academic program r</w:t>
      </w:r>
      <w:r w:rsidR="00306EDA">
        <w:t>eview, the department</w:t>
      </w:r>
      <w:r w:rsidR="00632AA6">
        <w:t>’s syllabi for</w:t>
      </w:r>
      <w:r w:rsidR="00306EDA">
        <w:t xml:space="preserve"> GMP courses will be reviewed by the LEC </w:t>
      </w:r>
      <w:r w:rsidR="00632AA6">
        <w:t xml:space="preserve">to ensure that the courses continue to comply with the appropriate GMP criteria.  </w:t>
      </w:r>
    </w:p>
    <w:p w:rsidR="00EE2392" w:rsidRDefault="00875D8A" w:rsidP="00875D8A">
      <w:r>
        <w:lastRenderedPageBreak/>
        <w:t xml:space="preserve">The College of Arts &amp; Science also </w:t>
      </w:r>
      <w:r w:rsidR="00263016">
        <w:t>has a set of divisional requirements, many of which overlap with the Global Miami Plan requirements.  Those requirement</w:t>
      </w:r>
      <w:r w:rsidR="00BF0A00">
        <w:t>s that are unique to the CAS include</w:t>
      </w:r>
      <w:r w:rsidR="00263016">
        <w:t xml:space="preserve"> </w:t>
      </w:r>
      <w:r w:rsidR="0036797B">
        <w:t>foreign language</w:t>
      </w:r>
      <w:r w:rsidR="00CE3AE0">
        <w:t>, quantitative literacy,</w:t>
      </w:r>
      <w:r w:rsidR="0036797B">
        <w:t xml:space="preserve"> </w:t>
      </w:r>
      <w:r>
        <w:t xml:space="preserve">as well as additional natural science credits.  The Farmer School of Business has a diversity course requirement.  </w:t>
      </w:r>
    </w:p>
    <w:p w:rsidR="00C91ACC" w:rsidRDefault="00C91ACC" w:rsidP="00C91ACC">
      <w:r w:rsidRPr="00C91ACC">
        <w:t xml:space="preserve">In addition to the GMP requirements, Miami ensures that students </w:t>
      </w:r>
      <w:r>
        <w:t>engage in creative and scholarly inquiry</w:t>
      </w:r>
      <w:r w:rsidR="00776BC6">
        <w:t xml:space="preserve"> </w:t>
      </w:r>
      <w:r>
        <w:t>through the following:</w:t>
      </w:r>
    </w:p>
    <w:p w:rsidR="00484D49" w:rsidRDefault="00484D49" w:rsidP="000945E2">
      <w:pPr>
        <w:pStyle w:val="ListParagraph"/>
        <w:numPr>
          <w:ilvl w:val="0"/>
          <w:numId w:val="42"/>
        </w:numPr>
      </w:pPr>
      <w:r>
        <w:t xml:space="preserve">The requirement that each department </w:t>
      </w:r>
      <w:r w:rsidR="000519A7">
        <w:t>develop clear outcomes and assessment reports and submit descriptions (prior to each HLC re-accreditation)</w:t>
      </w:r>
      <w:r w:rsidR="00571A7E">
        <w:t xml:space="preserve"> </w:t>
      </w:r>
      <w:r>
        <w:t>on the ways that its degree programs promote</w:t>
      </w:r>
      <w:r w:rsidR="00785BA0">
        <w:t xml:space="preserve"> </w:t>
      </w:r>
      <w:r>
        <w:t xml:space="preserve">inquiry as well as </w:t>
      </w:r>
      <w:r w:rsidR="00785BA0">
        <w:t>human and cultural diversity;</w:t>
      </w:r>
    </w:p>
    <w:p w:rsidR="00C91ACC" w:rsidRDefault="00293515" w:rsidP="000945E2">
      <w:pPr>
        <w:pStyle w:val="ListParagraph"/>
        <w:numPr>
          <w:ilvl w:val="0"/>
          <w:numId w:val="42"/>
        </w:numPr>
      </w:pPr>
      <w:r>
        <w:t xml:space="preserve">The </w:t>
      </w:r>
      <w:r w:rsidR="00BE5F81">
        <w:t xml:space="preserve">Top 25 initiative which was described in </w:t>
      </w:r>
      <w:r w:rsidR="00785BA0">
        <w:t>the narrative for criterion 2D;</w:t>
      </w:r>
    </w:p>
    <w:p w:rsidR="00BE5F81" w:rsidRDefault="00293515" w:rsidP="000945E2">
      <w:pPr>
        <w:pStyle w:val="ListParagraph"/>
        <w:numPr>
          <w:ilvl w:val="0"/>
          <w:numId w:val="42"/>
        </w:numPr>
      </w:pPr>
      <w:r>
        <w:t xml:space="preserve">The </w:t>
      </w:r>
      <w:r w:rsidR="00BE5F81">
        <w:t>Writing@Miami initiative which was launched in 2014</w:t>
      </w:r>
      <w:r w:rsidR="00785BA0">
        <w:t xml:space="preserve"> and is supported by the nationally recognized Howe Center for Writing Excellence;</w:t>
      </w:r>
    </w:p>
    <w:p w:rsidR="00484D49" w:rsidRDefault="00293515" w:rsidP="000945E2">
      <w:pPr>
        <w:pStyle w:val="ListParagraph"/>
        <w:numPr>
          <w:ilvl w:val="0"/>
          <w:numId w:val="42"/>
        </w:numPr>
      </w:pPr>
      <w:r>
        <w:t>The new Office</w:t>
      </w:r>
      <w:r w:rsidR="00993945">
        <w:t xml:space="preserve"> of Research for</w:t>
      </w:r>
      <w:r w:rsidR="00484D49">
        <w:t xml:space="preserve"> Undergraduates whi</w:t>
      </w:r>
      <w:r w:rsidR="000519A7">
        <w:t>ch was founded in 2014 to coordinate the</w:t>
      </w:r>
      <w:r w:rsidR="00484D49">
        <w:t xml:space="preserve"> multitude of </w:t>
      </w:r>
      <w:r w:rsidR="00583F65">
        <w:t>student research opportunities</w:t>
      </w:r>
      <w:r w:rsidR="00EF068A">
        <w:t xml:space="preserve"> </w:t>
      </w:r>
      <w:r w:rsidR="00583F65">
        <w:t>(</w:t>
      </w:r>
      <w:r w:rsidR="00EF068A">
        <w:t xml:space="preserve">described in </w:t>
      </w:r>
      <w:r w:rsidR="00583F65">
        <w:t>t</w:t>
      </w:r>
      <w:r w:rsidR="00A02FD1">
        <w:t>he narrative for Criterion 3.E);</w:t>
      </w:r>
    </w:p>
    <w:p w:rsidR="003819DD" w:rsidRPr="00D853B8" w:rsidRDefault="003819DD" w:rsidP="000945E2">
      <w:pPr>
        <w:pStyle w:val="ListParagraph"/>
        <w:numPr>
          <w:ilvl w:val="0"/>
          <w:numId w:val="42"/>
        </w:numPr>
      </w:pPr>
      <w:r w:rsidRPr="00D853B8">
        <w:t>Support for graduate student research</w:t>
      </w:r>
      <w:r w:rsidR="006D0831" w:rsidRPr="00D853B8">
        <w:t xml:space="preserve"> through</w:t>
      </w:r>
      <w:r w:rsidR="00425247">
        <w:t xml:space="preserve"> graduate assistantships,</w:t>
      </w:r>
      <w:r w:rsidR="006D0831" w:rsidRPr="00D853B8">
        <w:t xml:space="preserve"> </w:t>
      </w:r>
      <w:r w:rsidR="00D853B8" w:rsidRPr="00D853B8">
        <w:t>thesis and dissert</w:t>
      </w:r>
      <w:r w:rsidR="00425247">
        <w:t>ation funds</w:t>
      </w:r>
      <w:r w:rsidR="00D853B8" w:rsidRPr="00D853B8">
        <w:t xml:space="preserve">, </w:t>
      </w:r>
      <w:r w:rsidR="00D853B8">
        <w:t>a graduate research forum, the Marjorie Post Farrington Scholarship, graduate achievement awards</w:t>
      </w:r>
      <w:r w:rsidR="00425247">
        <w:t>, and funding for conference presentations</w:t>
      </w:r>
      <w:r w:rsidR="00F061DD">
        <w:t>,</w:t>
      </w:r>
      <w:r w:rsidR="00425247">
        <w:t xml:space="preserve"> and travel.</w:t>
      </w:r>
    </w:p>
    <w:p w:rsidR="00A04793" w:rsidRDefault="00812400" w:rsidP="006904EE">
      <w:r>
        <w:t>I</w:t>
      </w:r>
      <w:r w:rsidR="006904EE">
        <w:t>nvolvement of students in schol</w:t>
      </w:r>
      <w:r w:rsidR="00F061DD">
        <w:t>arship and creative activity is not only prioritized</w:t>
      </w:r>
      <w:r w:rsidR="00387638">
        <w:t xml:space="preserve"> in </w:t>
      </w:r>
      <w:r w:rsidR="00F061DD">
        <w:t>the Miami 2020 Plan but it is</w:t>
      </w:r>
      <w:r w:rsidR="00387638">
        <w:t xml:space="preserve"> also</w:t>
      </w:r>
      <w:r w:rsidR="006904EE">
        <w:t xml:space="preserve"> incorporated in annual performance evaluations as well as</w:t>
      </w:r>
      <w:r>
        <w:t xml:space="preserve"> </w:t>
      </w:r>
      <w:r w:rsidR="00A02FD1">
        <w:t xml:space="preserve">the tenure and </w:t>
      </w:r>
      <w:r>
        <w:t xml:space="preserve">promotion </w:t>
      </w:r>
      <w:r w:rsidR="00387638">
        <w:t xml:space="preserve">review of </w:t>
      </w:r>
      <w:r w:rsidR="006904EE">
        <w:t xml:space="preserve">Miami faculty.  </w:t>
      </w:r>
      <w:r>
        <w:t>Tenu</w:t>
      </w:r>
      <w:r w:rsidR="00010D24">
        <w:t xml:space="preserve">re-eligible and tenured faculty </w:t>
      </w:r>
      <w:r>
        <w:t xml:space="preserve">are expected to </w:t>
      </w:r>
      <w:r w:rsidR="00720DFA">
        <w:t>demonstrate “research, scholarly and/or creative achievement of high quality” on a continuing basis</w:t>
      </w:r>
      <w:r w:rsidR="00F639F2">
        <w:t xml:space="preserve"> (MUPIM 7.7).</w:t>
      </w:r>
    </w:p>
    <w:p w:rsidR="003209AF" w:rsidRPr="001B60AE" w:rsidRDefault="00F639F2" w:rsidP="003209AF">
      <w:r>
        <w:t>As noted in the narrative for criterion 1C, the Miami mission, as well as the second foundational goal of the Miami 2020 Plan</w:t>
      </w:r>
      <w:r w:rsidR="00F061DD">
        <w:t>, t</w:t>
      </w:r>
      <w:r w:rsidR="00033C46">
        <w:t>he u</w:t>
      </w:r>
      <w:r w:rsidR="003209AF">
        <w:t xml:space="preserve">niversity believes in the importance of cultivating an inclusive and diverse learning environment.  </w:t>
      </w:r>
      <w:r w:rsidR="00583F65">
        <w:t>C</w:t>
      </w:r>
      <w:r w:rsidR="00284406">
        <w:t>ourses meeting the</w:t>
      </w:r>
      <w:r w:rsidR="00F061DD">
        <w:t xml:space="preserve"> new</w:t>
      </w:r>
      <w:r w:rsidR="00284406">
        <w:t xml:space="preserve"> </w:t>
      </w:r>
      <w:r w:rsidR="003209AF">
        <w:t>intercultural perspect</w:t>
      </w:r>
      <w:r w:rsidR="00284406">
        <w:t>ives re</w:t>
      </w:r>
      <w:r w:rsidR="00F061DD">
        <w:t>quirement</w:t>
      </w:r>
      <w:r w:rsidR="00583F65">
        <w:t xml:space="preserve"> in the Global Miami Plan will help students to</w:t>
      </w:r>
      <w:r w:rsidR="003209AF" w:rsidRPr="001B60AE">
        <w:t xml:space="preserve"> recognize new perspective</w:t>
      </w:r>
      <w:r w:rsidR="003209AF">
        <w:t>s</w:t>
      </w:r>
      <w:r w:rsidR="003209AF" w:rsidRPr="001B60AE">
        <w:t xml:space="preserve"> about their own cultural rules and biases</w:t>
      </w:r>
      <w:r w:rsidR="003209AF">
        <w:t xml:space="preserve"> by</w:t>
      </w:r>
      <w:r w:rsidR="003209AF" w:rsidRPr="001B60AE">
        <w:t>:</w:t>
      </w:r>
    </w:p>
    <w:p w:rsidR="003209AF" w:rsidRPr="001B60AE" w:rsidRDefault="003209AF" w:rsidP="000945E2">
      <w:pPr>
        <w:pStyle w:val="ListParagraph"/>
        <w:numPr>
          <w:ilvl w:val="0"/>
          <w:numId w:val="43"/>
        </w:numPr>
        <w:jc w:val="both"/>
      </w:pPr>
      <w:r>
        <w:t>Demonstrating</w:t>
      </w:r>
      <w:r w:rsidRPr="001B60AE">
        <w:t xml:space="preserve"> an understanding of the ways marginalized and dominant groups define and express themselves, and the contexts in which these definitions are constructed; and/or</w:t>
      </w:r>
    </w:p>
    <w:p w:rsidR="003209AF" w:rsidRPr="001B60AE" w:rsidRDefault="003209AF" w:rsidP="000945E2">
      <w:pPr>
        <w:pStyle w:val="ListParagraph"/>
        <w:numPr>
          <w:ilvl w:val="0"/>
          <w:numId w:val="43"/>
        </w:numPr>
        <w:jc w:val="both"/>
      </w:pPr>
      <w:r w:rsidRPr="001B60AE">
        <w:t>D</w:t>
      </w:r>
      <w:r>
        <w:t>emonstrating</w:t>
      </w:r>
      <w:r w:rsidRPr="001B60AE">
        <w:t xml:space="preserve"> an understanding of how such global forces as imperialism, colonialism, religion, globalization, capitalism, and socialism have shaped ideas, groups, institutions, and/or the natural environment; and/or</w:t>
      </w:r>
    </w:p>
    <w:p w:rsidR="003209AF" w:rsidRPr="001B60AE" w:rsidRDefault="003209AF" w:rsidP="000945E2">
      <w:pPr>
        <w:pStyle w:val="ListParagraph"/>
        <w:numPr>
          <w:ilvl w:val="0"/>
          <w:numId w:val="43"/>
        </w:numPr>
        <w:jc w:val="both"/>
      </w:pPr>
      <w:r>
        <w:t>Demonstrating</w:t>
      </w:r>
      <w:r w:rsidRPr="001B60AE">
        <w:t xml:space="preserve"> an understanding of theories addressing notions of race, gender, sexuality, class, disability, ethnicity, nationalism, and/or other socially constructed categories.</w:t>
      </w:r>
    </w:p>
    <w:p w:rsidR="00875D8A" w:rsidRDefault="006C77F0" w:rsidP="003209AF">
      <w:r>
        <w:t>Co-curricular p</w:t>
      </w:r>
      <w:r w:rsidR="00720719">
        <w:t>rogramming in the residence halls also advance</w:t>
      </w:r>
      <w:r w:rsidR="00583F65">
        <w:t>s</w:t>
      </w:r>
      <w:r w:rsidR="00720719">
        <w:t xml:space="preserve"> cultural proficiency</w:t>
      </w:r>
      <w:r w:rsidR="00E06A56">
        <w:t xml:space="preserve"> (see residential curriculum description)</w:t>
      </w:r>
      <w:r w:rsidR="00720719">
        <w:t>, and Miami</w:t>
      </w:r>
      <w:r w:rsidR="00AF75EA">
        <w:t xml:space="preserve"> features many centers (</w:t>
      </w:r>
      <w:r w:rsidR="00E06A56">
        <w:t xml:space="preserve">e.g., </w:t>
      </w:r>
      <w:r w:rsidR="00AF75EA">
        <w:t>Center for American &amp; World Cultures, Humanities Center, Women’s Center) as well as student organizations that provide a wide range of programs focused on these goals.</w:t>
      </w:r>
    </w:p>
    <w:p w:rsidR="000903DA" w:rsidRPr="000558D3" w:rsidRDefault="006D2A4F" w:rsidP="000558D3">
      <w:r>
        <w:t>In 2013</w:t>
      </w:r>
      <w:r w:rsidR="00E145C0">
        <w:t>, NSSE offered Miami</w:t>
      </w:r>
      <w:r>
        <w:t xml:space="preserve"> the opp</w:t>
      </w:r>
      <w:r w:rsidR="00033C46">
        <w:t>ortunity to participate in the global p</w:t>
      </w:r>
      <w:r>
        <w:t>erspectives</w:t>
      </w:r>
      <w:r w:rsidR="00E145C0">
        <w:t xml:space="preserve"> </w:t>
      </w:r>
      <w:r>
        <w:t>question set</w:t>
      </w:r>
      <w:r w:rsidR="00E145C0">
        <w:t xml:space="preserve"> which assesses </w:t>
      </w:r>
      <w:r>
        <w:t>how students think ab</w:t>
      </w:r>
      <w:r w:rsidR="00E145C0">
        <w:t xml:space="preserve">out culture and how they relate </w:t>
      </w:r>
      <w:r>
        <w:t>to people from o</w:t>
      </w:r>
      <w:r w:rsidR="00E145C0">
        <w:t xml:space="preserve">ther cultures, backgrounds, and </w:t>
      </w:r>
      <w:r>
        <w:t xml:space="preserve">values. </w:t>
      </w:r>
      <w:r w:rsidR="00E145C0">
        <w:t xml:space="preserve"> </w:t>
      </w:r>
      <w:r w:rsidR="00543A66">
        <w:t>On nearly half of the global p</w:t>
      </w:r>
      <w:r w:rsidR="00E145C0">
        <w:t xml:space="preserve">erspectives items, Miami </w:t>
      </w:r>
      <w:r>
        <w:t>seniors demonstrated greater global and cultural</w:t>
      </w:r>
      <w:r w:rsidR="00E145C0">
        <w:t xml:space="preserve"> </w:t>
      </w:r>
      <w:r>
        <w:t xml:space="preserve">awareness than did first‐year students. </w:t>
      </w:r>
      <w:r w:rsidR="000558D3">
        <w:t xml:space="preserve"> Although this assessment suggests that </w:t>
      </w:r>
      <w:r w:rsidR="00543A66">
        <w:t xml:space="preserve">many </w:t>
      </w:r>
      <w:r w:rsidR="000558D3">
        <w:t xml:space="preserve">students are developing in these areas, </w:t>
      </w:r>
      <w:r w:rsidR="004D14C1">
        <w:t xml:space="preserve">Miami recognizes that </w:t>
      </w:r>
      <w:r w:rsidR="000558D3">
        <w:t>more work is needed.  T</w:t>
      </w:r>
      <w:r w:rsidR="002D00C5" w:rsidRPr="002D00C5">
        <w:t xml:space="preserve">he </w:t>
      </w:r>
      <w:r w:rsidR="00033C46">
        <w:t>Office of Global Initiatives used the global perspective i</w:t>
      </w:r>
      <w:r w:rsidR="002D00C5" w:rsidRPr="002D00C5">
        <w:t xml:space="preserve">nventory (GPI) tool to assess every student traveling in a Miami faculty‐led study abroad program and found that </w:t>
      </w:r>
      <w:r w:rsidR="002D00C5">
        <w:t>the study</w:t>
      </w:r>
      <w:r w:rsidR="00015393">
        <w:t xml:space="preserve"> </w:t>
      </w:r>
      <w:r w:rsidR="00015393">
        <w:lastRenderedPageBreak/>
        <w:t>abroad experience</w:t>
      </w:r>
      <w:r w:rsidR="00543A66">
        <w:t>s had</w:t>
      </w:r>
      <w:r w:rsidR="00015393">
        <w:t xml:space="preserve"> little</w:t>
      </w:r>
      <w:r w:rsidR="002D00C5">
        <w:t xml:space="preserve"> </w:t>
      </w:r>
      <w:r w:rsidR="002D00C5" w:rsidRPr="002D00C5">
        <w:t xml:space="preserve">influence on </w:t>
      </w:r>
      <w:r w:rsidR="002D00C5">
        <w:t xml:space="preserve">students’ </w:t>
      </w:r>
      <w:r w:rsidR="002D00C5" w:rsidRPr="002D00C5">
        <w:t>global</w:t>
      </w:r>
      <w:r>
        <w:t xml:space="preserve"> perspectives and intercultural </w:t>
      </w:r>
      <w:r w:rsidR="00543A66">
        <w:t>competencies (see Assessment Brief #78).</w:t>
      </w:r>
    </w:p>
    <w:p w:rsidR="00455E52" w:rsidRDefault="00523DDE" w:rsidP="00523DDE">
      <w:r>
        <w:t>Key challenges and areas for improvement relating to this criterion include:</w:t>
      </w:r>
    </w:p>
    <w:p w:rsidR="00523DDE" w:rsidRDefault="00455E52" w:rsidP="000945E2">
      <w:pPr>
        <w:pStyle w:val="ListParagraph"/>
        <w:numPr>
          <w:ilvl w:val="0"/>
          <w:numId w:val="44"/>
        </w:numPr>
      </w:pPr>
      <w:r>
        <w:t xml:space="preserve">Advancing the faculty-intensive work of undergraduate research </w:t>
      </w:r>
      <w:r w:rsidR="004D14C1">
        <w:t>and securing</w:t>
      </w:r>
      <w:r w:rsidR="00523DDE">
        <w:t xml:space="preserve"> the needed research infrastructure to maintain a research-productive faculty </w:t>
      </w:r>
      <w:r>
        <w:t>duri</w:t>
      </w:r>
      <w:r w:rsidR="00CE3AE0">
        <w:t>ng a time of diminished funding for research</w:t>
      </w:r>
      <w:r w:rsidR="00523DDE">
        <w:t>;</w:t>
      </w:r>
    </w:p>
    <w:p w:rsidR="006403BA" w:rsidRPr="009C5717" w:rsidRDefault="00455E52" w:rsidP="000945E2">
      <w:pPr>
        <w:pStyle w:val="ListParagraph"/>
        <w:numPr>
          <w:ilvl w:val="0"/>
          <w:numId w:val="44"/>
        </w:numPr>
      </w:pPr>
      <w:r w:rsidRPr="009C5717">
        <w:t>Fostering</w:t>
      </w:r>
      <w:r w:rsidR="000558D3">
        <w:t xml:space="preserve"> global </w:t>
      </w:r>
      <w:r w:rsidRPr="009C5717">
        <w:t>and intercultural learn</w:t>
      </w:r>
      <w:r w:rsidR="000558D3">
        <w:t>ing in study abroad and other learning experiences</w:t>
      </w:r>
      <w:r w:rsidR="00523DDE">
        <w:t xml:space="preserve"> g</w:t>
      </w:r>
      <w:r w:rsidR="000558D3">
        <w:t>iven that assessments indicate further development is warranted.</w:t>
      </w:r>
    </w:p>
    <w:p w:rsidR="006403BA" w:rsidRDefault="006403BA" w:rsidP="00455E52">
      <w:pPr>
        <w:pStyle w:val="Heading2"/>
      </w:pPr>
      <w:r>
        <w:t>Sources</w:t>
      </w:r>
    </w:p>
    <w:p w:rsidR="00455E52" w:rsidRDefault="00455E52" w:rsidP="00072109">
      <w:pPr>
        <w:pStyle w:val="NoSpacing"/>
        <w:numPr>
          <w:ilvl w:val="0"/>
          <w:numId w:val="7"/>
        </w:numPr>
        <w:ind w:left="252" w:hanging="252"/>
        <w:rPr>
          <w:sz w:val="20"/>
          <w:szCs w:val="20"/>
        </w:rPr>
      </w:pPr>
      <w:r w:rsidRPr="00006CA8">
        <w:rPr>
          <w:sz w:val="20"/>
          <w:szCs w:val="20"/>
        </w:rPr>
        <w:t>Liberal Education Mission Statement, Principles, Requirements</w:t>
      </w:r>
      <w:r w:rsidR="00807390">
        <w:rPr>
          <w:sz w:val="20"/>
          <w:szCs w:val="20"/>
        </w:rPr>
        <w:t xml:space="preserve"> in Bulletin</w:t>
      </w:r>
      <w:r w:rsidRPr="00006CA8">
        <w:rPr>
          <w:sz w:val="20"/>
          <w:szCs w:val="20"/>
        </w:rPr>
        <w:t xml:space="preserve">: [http://www.miami.muohio.edu/liberal-ed/] </w:t>
      </w:r>
    </w:p>
    <w:p w:rsidR="00807390" w:rsidRDefault="00807390" w:rsidP="00072109">
      <w:pPr>
        <w:pStyle w:val="NoSpacing"/>
        <w:numPr>
          <w:ilvl w:val="0"/>
          <w:numId w:val="7"/>
        </w:numPr>
        <w:ind w:left="252" w:hanging="252"/>
        <w:rPr>
          <w:sz w:val="20"/>
          <w:szCs w:val="20"/>
        </w:rPr>
      </w:pPr>
      <w:r>
        <w:rPr>
          <w:sz w:val="20"/>
          <w:szCs w:val="20"/>
        </w:rPr>
        <w:t>Description of FSB divisional requirements and CAS divisional requirements in Bulletin</w:t>
      </w:r>
    </w:p>
    <w:p w:rsidR="00EF3733" w:rsidRDefault="00015393" w:rsidP="00EF3733">
      <w:pPr>
        <w:pStyle w:val="NoSpacing"/>
        <w:numPr>
          <w:ilvl w:val="0"/>
          <w:numId w:val="7"/>
        </w:numPr>
        <w:ind w:left="252" w:hanging="252"/>
        <w:rPr>
          <w:sz w:val="20"/>
          <w:szCs w:val="20"/>
        </w:rPr>
      </w:pPr>
      <w:r>
        <w:rPr>
          <w:sz w:val="20"/>
          <w:szCs w:val="20"/>
        </w:rPr>
        <w:t>Proposal for new Global Miami Plan</w:t>
      </w:r>
    </w:p>
    <w:p w:rsidR="00807390" w:rsidRDefault="00807390" w:rsidP="00EF3733">
      <w:pPr>
        <w:pStyle w:val="NoSpacing"/>
        <w:numPr>
          <w:ilvl w:val="0"/>
          <w:numId w:val="7"/>
        </w:numPr>
        <w:ind w:left="252" w:hanging="252"/>
        <w:rPr>
          <w:sz w:val="20"/>
          <w:szCs w:val="20"/>
        </w:rPr>
      </w:pPr>
      <w:r>
        <w:rPr>
          <w:sz w:val="20"/>
          <w:szCs w:val="20"/>
        </w:rPr>
        <w:t>MUPIM 7.7</w:t>
      </w:r>
    </w:p>
    <w:p w:rsidR="00015393" w:rsidRPr="00EF3733" w:rsidRDefault="00EF3733" w:rsidP="00EF3733">
      <w:pPr>
        <w:pStyle w:val="NoSpacing"/>
        <w:numPr>
          <w:ilvl w:val="0"/>
          <w:numId w:val="7"/>
        </w:numPr>
        <w:ind w:left="252" w:hanging="252"/>
        <w:rPr>
          <w:sz w:val="20"/>
          <w:szCs w:val="20"/>
        </w:rPr>
      </w:pPr>
      <w:r w:rsidRPr="00EF3733">
        <w:rPr>
          <w:sz w:val="20"/>
          <w:szCs w:val="20"/>
        </w:rPr>
        <w:t>Assessment Brief #78 [http://www.units.miamioh.edu/celt/assessment/briefs/Brief_78.pdf]</w:t>
      </w:r>
    </w:p>
    <w:p w:rsidR="00720719" w:rsidRPr="00015393" w:rsidRDefault="00720719" w:rsidP="00015393">
      <w:pPr>
        <w:pStyle w:val="NoSpacing"/>
        <w:numPr>
          <w:ilvl w:val="0"/>
          <w:numId w:val="7"/>
        </w:numPr>
        <w:ind w:left="252" w:hanging="252"/>
        <w:rPr>
          <w:sz w:val="20"/>
          <w:szCs w:val="20"/>
        </w:rPr>
      </w:pPr>
      <w:r w:rsidRPr="00015393">
        <w:rPr>
          <w:sz w:val="20"/>
          <w:szCs w:val="20"/>
        </w:rPr>
        <w:t>Residential curriculum http://www.units.miamioh.edu/saf/reslife/reslife/whatwedo/rescurric.php</w:t>
      </w:r>
    </w:p>
    <w:p w:rsidR="00807390" w:rsidRDefault="00807390" w:rsidP="00072109">
      <w:pPr>
        <w:pStyle w:val="NoSpacing"/>
        <w:numPr>
          <w:ilvl w:val="0"/>
          <w:numId w:val="7"/>
        </w:numPr>
        <w:ind w:left="252" w:hanging="252"/>
        <w:rPr>
          <w:sz w:val="20"/>
          <w:szCs w:val="20"/>
        </w:rPr>
      </w:pPr>
      <w:r>
        <w:rPr>
          <w:sz w:val="20"/>
          <w:szCs w:val="20"/>
        </w:rPr>
        <w:t>TOP 25 reports, articles</w:t>
      </w:r>
    </w:p>
    <w:p w:rsidR="00807390" w:rsidRDefault="001B1551" w:rsidP="00072109">
      <w:pPr>
        <w:pStyle w:val="NoSpacing"/>
        <w:numPr>
          <w:ilvl w:val="0"/>
          <w:numId w:val="7"/>
        </w:numPr>
        <w:ind w:left="252" w:hanging="252"/>
        <w:rPr>
          <w:sz w:val="20"/>
          <w:szCs w:val="20"/>
        </w:rPr>
      </w:pPr>
      <w:r>
        <w:rPr>
          <w:sz w:val="20"/>
          <w:szCs w:val="20"/>
        </w:rPr>
        <w:t xml:space="preserve">Office of Research for </w:t>
      </w:r>
      <w:r w:rsidR="00807390">
        <w:rPr>
          <w:sz w:val="20"/>
          <w:szCs w:val="20"/>
        </w:rPr>
        <w:t>Undergraduates proposal</w:t>
      </w:r>
      <w:r>
        <w:rPr>
          <w:sz w:val="20"/>
          <w:szCs w:val="20"/>
        </w:rPr>
        <w:t xml:space="preserve"> (Senate minutes--or ask Joe Johnson)</w:t>
      </w:r>
    </w:p>
    <w:p w:rsidR="00EF3733" w:rsidRPr="00006CA8" w:rsidRDefault="00EF3733" w:rsidP="00072109">
      <w:pPr>
        <w:pStyle w:val="NoSpacing"/>
        <w:numPr>
          <w:ilvl w:val="0"/>
          <w:numId w:val="7"/>
        </w:numPr>
        <w:ind w:left="252" w:hanging="252"/>
        <w:rPr>
          <w:sz w:val="20"/>
          <w:szCs w:val="20"/>
        </w:rPr>
      </w:pPr>
      <w:r>
        <w:rPr>
          <w:sz w:val="20"/>
          <w:szCs w:val="20"/>
        </w:rPr>
        <w:t>Writing@Miami project proposal, brochure</w:t>
      </w:r>
    </w:p>
    <w:p w:rsidR="00010D24" w:rsidRPr="00B70AC4" w:rsidRDefault="00010D24" w:rsidP="00B70AC4">
      <w:pPr>
        <w:pStyle w:val="NoSpacing"/>
        <w:numPr>
          <w:ilvl w:val="0"/>
          <w:numId w:val="7"/>
        </w:numPr>
        <w:ind w:left="252" w:hanging="252"/>
        <w:rPr>
          <w:sz w:val="20"/>
          <w:szCs w:val="20"/>
        </w:rPr>
      </w:pPr>
      <w:r w:rsidRPr="00B70AC4">
        <w:rPr>
          <w:sz w:val="20"/>
          <w:szCs w:val="20"/>
        </w:rPr>
        <w:t>List of diverse student organizations</w:t>
      </w:r>
      <w:r w:rsidR="00B70AC4" w:rsidRPr="00B70AC4">
        <w:rPr>
          <w:sz w:val="20"/>
          <w:szCs w:val="20"/>
        </w:rPr>
        <w:t>: https://www.miami.miamioh.edu/about-miami/diversity/student-connections/index.html</w:t>
      </w:r>
    </w:p>
    <w:p w:rsidR="00455E52" w:rsidRDefault="003819DD" w:rsidP="00072109">
      <w:pPr>
        <w:pStyle w:val="NoSpacing"/>
        <w:numPr>
          <w:ilvl w:val="0"/>
          <w:numId w:val="7"/>
        </w:numPr>
        <w:ind w:left="252" w:hanging="252"/>
        <w:rPr>
          <w:sz w:val="20"/>
          <w:szCs w:val="20"/>
        </w:rPr>
      </w:pPr>
      <w:r>
        <w:rPr>
          <w:sz w:val="20"/>
          <w:szCs w:val="20"/>
        </w:rPr>
        <w:t>List of d</w:t>
      </w:r>
      <w:r w:rsidR="00455E52" w:rsidRPr="00006CA8">
        <w:rPr>
          <w:sz w:val="20"/>
          <w:szCs w:val="20"/>
        </w:rPr>
        <w:t>iversity programming offered by centers, divisions, departments, Global Initiatives</w:t>
      </w:r>
      <w:r w:rsidR="00290970">
        <w:rPr>
          <w:sz w:val="20"/>
          <w:szCs w:val="20"/>
        </w:rPr>
        <w:t>, CAWC, Diversity Affairs Council, Celebrating Freedom</w:t>
      </w:r>
      <w:r>
        <w:rPr>
          <w:sz w:val="20"/>
          <w:szCs w:val="20"/>
        </w:rPr>
        <w:t xml:space="preserve"> in 2013-2014</w:t>
      </w:r>
    </w:p>
    <w:p w:rsidR="00671FBC" w:rsidRDefault="00671FBC" w:rsidP="00072109">
      <w:pPr>
        <w:pStyle w:val="NoSpacing"/>
        <w:numPr>
          <w:ilvl w:val="0"/>
          <w:numId w:val="7"/>
        </w:numPr>
        <w:ind w:left="252" w:hanging="252"/>
        <w:rPr>
          <w:sz w:val="20"/>
          <w:szCs w:val="20"/>
        </w:rPr>
      </w:pPr>
      <w:r>
        <w:rPr>
          <w:sz w:val="20"/>
          <w:szCs w:val="20"/>
        </w:rPr>
        <w:t>Modified VALUE rubrics for critical thinking &amp; written communication</w:t>
      </w:r>
    </w:p>
    <w:p w:rsidR="00671FBC" w:rsidRPr="00006CA8" w:rsidRDefault="00671FBC" w:rsidP="00072109">
      <w:pPr>
        <w:pStyle w:val="NoSpacing"/>
        <w:numPr>
          <w:ilvl w:val="0"/>
          <w:numId w:val="7"/>
        </w:numPr>
        <w:ind w:left="252" w:hanging="252"/>
        <w:rPr>
          <w:sz w:val="20"/>
          <w:szCs w:val="20"/>
        </w:rPr>
      </w:pPr>
      <w:r>
        <w:rPr>
          <w:sz w:val="20"/>
          <w:szCs w:val="20"/>
        </w:rPr>
        <w:t>Online course evaluation questions</w:t>
      </w:r>
    </w:p>
    <w:p w:rsidR="006403BA" w:rsidRDefault="006403BA" w:rsidP="006403BA">
      <w:pPr>
        <w:pStyle w:val="NoSpacing"/>
        <w:rPr>
          <w:sz w:val="20"/>
          <w:szCs w:val="20"/>
        </w:rPr>
      </w:pPr>
    </w:p>
    <w:p w:rsidR="00455E52" w:rsidRDefault="00455E52">
      <w:pPr>
        <w:rPr>
          <w:b/>
          <w:i/>
        </w:rPr>
      </w:pPr>
      <w:r>
        <w:rPr>
          <w:b/>
          <w:i/>
        </w:rPr>
        <w:br w:type="page"/>
      </w:r>
    </w:p>
    <w:p w:rsidR="00455E52" w:rsidRPr="00C345E6" w:rsidRDefault="00455E52" w:rsidP="00455E52">
      <w:pPr>
        <w:pStyle w:val="Heading4"/>
        <w:ind w:left="720" w:hanging="720"/>
      </w:pPr>
      <w:r>
        <w:lastRenderedPageBreak/>
        <w:t>3.C.</w:t>
      </w:r>
      <w:r>
        <w:tab/>
      </w:r>
      <w:r w:rsidRPr="00C345E6">
        <w:t xml:space="preserve">The institution has the faculty and staff needed for effective, high-quality programs and student services. </w:t>
      </w:r>
    </w:p>
    <w:p w:rsidR="00455E52" w:rsidRPr="00455E52" w:rsidRDefault="00455E52" w:rsidP="00455E52">
      <w:pPr>
        <w:pStyle w:val="Heading5"/>
        <w:ind w:left="720" w:hanging="720"/>
        <w:rPr>
          <w:sz w:val="22"/>
          <w:szCs w:val="22"/>
        </w:rPr>
      </w:pPr>
      <w:r w:rsidRPr="00455E52">
        <w:rPr>
          <w:sz w:val="22"/>
          <w:szCs w:val="22"/>
        </w:rPr>
        <w:t>3.C.1</w:t>
      </w:r>
      <w:r>
        <w:rPr>
          <w:sz w:val="22"/>
          <w:szCs w:val="22"/>
        </w:rPr>
        <w:t>.</w:t>
      </w:r>
      <w:r>
        <w:rPr>
          <w:sz w:val="22"/>
          <w:szCs w:val="22"/>
        </w:rPr>
        <w:tab/>
      </w:r>
      <w:r w:rsidRPr="00455E52">
        <w:rPr>
          <w:sz w:val="22"/>
          <w:szCs w:val="22"/>
        </w:rPr>
        <w:t>The institution has sufficient numbers and continuity of faculty members to carry out both the classroom and the non-classroom roles of faculty, including oversight of the curriculum and expectations for student performance; establishment of academic credentials for instructional staff; involvement in assessment of student learning.</w:t>
      </w:r>
    </w:p>
    <w:p w:rsidR="00455E52" w:rsidRPr="00455E52" w:rsidRDefault="00455E52" w:rsidP="00455E52">
      <w:pPr>
        <w:pStyle w:val="Heading5"/>
        <w:ind w:left="720" w:hanging="720"/>
        <w:rPr>
          <w:sz w:val="22"/>
          <w:szCs w:val="22"/>
        </w:rPr>
      </w:pPr>
      <w:r>
        <w:rPr>
          <w:sz w:val="22"/>
          <w:szCs w:val="22"/>
        </w:rPr>
        <w:t xml:space="preserve">3.C.2. </w:t>
      </w:r>
      <w:r>
        <w:rPr>
          <w:sz w:val="22"/>
          <w:szCs w:val="22"/>
        </w:rPr>
        <w:tab/>
      </w:r>
      <w:r w:rsidRPr="00455E52">
        <w:rPr>
          <w:sz w:val="22"/>
          <w:szCs w:val="22"/>
        </w:rPr>
        <w:t>All instruct</w:t>
      </w:r>
      <w:r w:rsidR="00933C51">
        <w:rPr>
          <w:sz w:val="22"/>
          <w:szCs w:val="22"/>
        </w:rPr>
        <w:t>ors are appropriately qualifi</w:t>
      </w:r>
      <w:r w:rsidRPr="00455E52">
        <w:rPr>
          <w:sz w:val="22"/>
          <w:szCs w:val="22"/>
        </w:rPr>
        <w:t>ed, including those in dual credit, contractual, and consortial programs.</w:t>
      </w:r>
    </w:p>
    <w:p w:rsidR="00455E52" w:rsidRPr="00455E52" w:rsidRDefault="00455E52" w:rsidP="00455E52">
      <w:pPr>
        <w:pStyle w:val="Heading5"/>
        <w:rPr>
          <w:sz w:val="22"/>
          <w:szCs w:val="22"/>
        </w:rPr>
      </w:pPr>
      <w:r w:rsidRPr="00455E52">
        <w:rPr>
          <w:sz w:val="22"/>
          <w:szCs w:val="22"/>
        </w:rPr>
        <w:t>3.C.</w:t>
      </w:r>
      <w:r>
        <w:rPr>
          <w:sz w:val="22"/>
          <w:szCs w:val="22"/>
        </w:rPr>
        <w:t>3.</w:t>
      </w:r>
      <w:r>
        <w:rPr>
          <w:sz w:val="22"/>
          <w:szCs w:val="22"/>
        </w:rPr>
        <w:tab/>
      </w:r>
      <w:r w:rsidRPr="00455E52">
        <w:rPr>
          <w:sz w:val="22"/>
          <w:szCs w:val="22"/>
        </w:rPr>
        <w:t>Instructors are evaluated regularly in accordance with established institutional policies and procedures.</w:t>
      </w:r>
    </w:p>
    <w:p w:rsidR="00455E52" w:rsidRPr="00455E52" w:rsidRDefault="00455E52" w:rsidP="00455E52">
      <w:pPr>
        <w:pStyle w:val="Heading5"/>
        <w:ind w:left="720" w:hanging="720"/>
        <w:rPr>
          <w:sz w:val="22"/>
          <w:szCs w:val="22"/>
        </w:rPr>
      </w:pPr>
      <w:r w:rsidRPr="00455E52">
        <w:rPr>
          <w:sz w:val="22"/>
          <w:szCs w:val="22"/>
        </w:rPr>
        <w:t>3.C.4</w:t>
      </w:r>
      <w:r>
        <w:rPr>
          <w:sz w:val="22"/>
          <w:szCs w:val="22"/>
        </w:rPr>
        <w:t>.</w:t>
      </w:r>
      <w:r>
        <w:rPr>
          <w:sz w:val="22"/>
          <w:szCs w:val="22"/>
        </w:rPr>
        <w:tab/>
      </w:r>
      <w:r w:rsidRPr="00455E52">
        <w:rPr>
          <w:sz w:val="22"/>
          <w:szCs w:val="22"/>
        </w:rPr>
        <w:t xml:space="preserve">Instructors are evaluated regularly in accordance with established institutional policies and procedures.  The institution has processes and resources for assuring that instructors are current in their disciplines and adept in their teaching roles; it supports their professional development. </w:t>
      </w:r>
    </w:p>
    <w:p w:rsidR="00455E52" w:rsidRPr="00455E52" w:rsidRDefault="00455E52" w:rsidP="00455E52">
      <w:pPr>
        <w:pStyle w:val="Heading5"/>
        <w:rPr>
          <w:sz w:val="22"/>
          <w:szCs w:val="22"/>
        </w:rPr>
      </w:pPr>
      <w:r>
        <w:rPr>
          <w:sz w:val="22"/>
          <w:szCs w:val="22"/>
        </w:rPr>
        <w:t>3.C.5.</w:t>
      </w:r>
      <w:r>
        <w:rPr>
          <w:sz w:val="22"/>
          <w:szCs w:val="22"/>
        </w:rPr>
        <w:tab/>
      </w:r>
      <w:r w:rsidRPr="00455E52">
        <w:rPr>
          <w:sz w:val="22"/>
          <w:szCs w:val="22"/>
        </w:rPr>
        <w:t>Instructors are accessible for student inquiry.</w:t>
      </w:r>
    </w:p>
    <w:p w:rsidR="00455E52" w:rsidRDefault="00455E52" w:rsidP="00455E52">
      <w:pPr>
        <w:pStyle w:val="Heading5"/>
        <w:ind w:left="720" w:hanging="720"/>
        <w:rPr>
          <w:sz w:val="22"/>
          <w:szCs w:val="22"/>
        </w:rPr>
      </w:pPr>
      <w:r>
        <w:rPr>
          <w:sz w:val="22"/>
          <w:szCs w:val="22"/>
        </w:rPr>
        <w:t>3.C.6.</w:t>
      </w:r>
      <w:r>
        <w:rPr>
          <w:sz w:val="22"/>
          <w:szCs w:val="22"/>
        </w:rPr>
        <w:tab/>
      </w:r>
      <w:r w:rsidRPr="00455E52">
        <w:rPr>
          <w:sz w:val="22"/>
          <w:szCs w:val="22"/>
        </w:rPr>
        <w:t>Staff members providing student support services, such as tutoring, financial aid advising, academic advising, and co-curricular activities, are appropriately qualified, trained, and supported in their professional development.</w:t>
      </w:r>
    </w:p>
    <w:p w:rsidR="00455E52" w:rsidRDefault="00455E52" w:rsidP="00455E52">
      <w:pPr>
        <w:pStyle w:val="Heading2"/>
      </w:pPr>
      <w:r>
        <w:t>Narrative</w:t>
      </w:r>
    </w:p>
    <w:p w:rsidR="00495F8C" w:rsidRDefault="009D48C4" w:rsidP="004E12AF">
      <w:r>
        <w:t xml:space="preserve">Miami </w:t>
      </w:r>
      <w:r w:rsidR="005141A7">
        <w:t xml:space="preserve">University </w:t>
      </w:r>
      <w:r w:rsidR="0047225B">
        <w:t>places a premium on</w:t>
      </w:r>
      <w:r w:rsidR="005141A7">
        <w:t xml:space="preserve"> interaction between faculty and students.  To enact this value, i</w:t>
      </w:r>
      <w:r>
        <w:t>ts</w:t>
      </w:r>
      <w:r w:rsidRPr="002413A8">
        <w:t xml:space="preserve"> student-to-faculty ratio i</w:t>
      </w:r>
      <w:r w:rsidR="005141A7">
        <w:t>s 18-to-1</w:t>
      </w:r>
      <w:r w:rsidR="00543A66">
        <w:t>,</w:t>
      </w:r>
      <w:r w:rsidR="005141A7">
        <w:t xml:space="preserve"> with </w:t>
      </w:r>
      <w:r>
        <w:t xml:space="preserve">64% of undergraduate </w:t>
      </w:r>
      <w:r w:rsidR="005141A7">
        <w:t xml:space="preserve">courses enrolling fewer than 30 students. </w:t>
      </w:r>
      <w:r w:rsidRPr="002413A8">
        <w:t xml:space="preserve">Full-time </w:t>
      </w:r>
      <w:r>
        <w:t>faculty</w:t>
      </w:r>
      <w:r w:rsidR="00543A66">
        <w:t xml:space="preserve"> members</w:t>
      </w:r>
      <w:r>
        <w:t xml:space="preserve"> </w:t>
      </w:r>
      <w:r w:rsidR="00BF0A00">
        <w:t>teach 82</w:t>
      </w:r>
      <w:r w:rsidRPr="002413A8">
        <w:t>% of undergraduate credit hours at Miami - the highest percentage of any p</w:t>
      </w:r>
      <w:r>
        <w:t>ublic univ</w:t>
      </w:r>
      <w:r w:rsidR="00685DAE">
        <w:t xml:space="preserve">ersity in the state.  </w:t>
      </w:r>
    </w:p>
    <w:p w:rsidR="00107FEB" w:rsidRPr="00B70AC4" w:rsidRDefault="00033C46" w:rsidP="00B70AC4">
      <w:r>
        <w:t>Since its</w:t>
      </w:r>
      <w:r w:rsidR="00685DAE" w:rsidRPr="00B70AC4">
        <w:t xml:space="preserve"> last application for re-accreditation, Miami has created the position of “Lecturers, Clinical and Professionally Licensed”</w:t>
      </w:r>
      <w:r w:rsidR="001038DA">
        <w:t xml:space="preserve"> (LCPL) faculty who are full-</w:t>
      </w:r>
      <w:r w:rsidR="00B33BE2" w:rsidRPr="00B70AC4">
        <w:t>time faculty responsible for</w:t>
      </w:r>
      <w:r w:rsidR="00685DAE" w:rsidRPr="00B70AC4">
        <w:t xml:space="preserve"> high quality teaching</w:t>
      </w:r>
      <w:r w:rsidR="00107FEB" w:rsidRPr="00B70AC4">
        <w:t>, advisement,</w:t>
      </w:r>
      <w:r w:rsidR="00685DAE" w:rsidRPr="00B70AC4">
        <w:t xml:space="preserve"> and service.  </w:t>
      </w:r>
      <w:r w:rsidR="00B33BE2" w:rsidRPr="00B70AC4">
        <w:t>The creation of this new posit</w:t>
      </w:r>
      <w:r w:rsidR="00495F8C" w:rsidRPr="00B70AC4">
        <w:t>ion was designed to p</w:t>
      </w:r>
      <w:r w:rsidR="001B6398" w:rsidRPr="00B70AC4">
        <w:t>romote engaged learning through exemplary instruction a</w:t>
      </w:r>
      <w:r w:rsidR="00495F8C" w:rsidRPr="00B70AC4">
        <w:t xml:space="preserve">nd a lower faculty-student ratio and </w:t>
      </w:r>
      <w:r w:rsidR="004D14C1">
        <w:t xml:space="preserve">to </w:t>
      </w:r>
      <w:r w:rsidR="00495F8C" w:rsidRPr="00B70AC4">
        <w:t xml:space="preserve">enable Miami </w:t>
      </w:r>
      <w:r w:rsidR="001B6398" w:rsidRPr="00B70AC4">
        <w:t>to deploy its resources and instructors to their best comparative advantage</w:t>
      </w:r>
      <w:r w:rsidR="00495F8C" w:rsidRPr="00B70AC4">
        <w:t xml:space="preserve">. </w:t>
      </w:r>
      <w:r w:rsidR="00BC4BDD" w:rsidRPr="00B70AC4">
        <w:t xml:space="preserve"> </w:t>
      </w:r>
      <w:r w:rsidR="00495F8C" w:rsidRPr="00B70AC4">
        <w:t xml:space="preserve">To </w:t>
      </w:r>
      <w:r w:rsidR="007E59C5">
        <w:t>better promote research-productive tenured and tenure-eligible faculty</w:t>
      </w:r>
      <w:r w:rsidR="00495F8C" w:rsidRPr="00B70AC4">
        <w:t xml:space="preserve">, </w:t>
      </w:r>
      <w:r w:rsidR="00D01557" w:rsidRPr="00B70AC4">
        <w:t xml:space="preserve">Miami policy mandates that </w:t>
      </w:r>
      <w:r w:rsidR="00495F8C" w:rsidRPr="00B70AC4">
        <w:t>t</w:t>
      </w:r>
      <w:r w:rsidR="00107FEB" w:rsidRPr="00B70AC4">
        <w:t>he total number of lecturers and clinical/profes</w:t>
      </w:r>
      <w:r w:rsidR="00D01557" w:rsidRPr="00B70AC4">
        <w:t xml:space="preserve">sionally licensed faculty </w:t>
      </w:r>
      <w:r w:rsidR="00107FEB" w:rsidRPr="00B70AC4">
        <w:t xml:space="preserve">not exceed </w:t>
      </w:r>
      <w:r w:rsidR="00B33BE2" w:rsidRPr="00B70AC4">
        <w:t xml:space="preserve">20% </w:t>
      </w:r>
      <w:r w:rsidR="00107FEB" w:rsidRPr="00B70AC4">
        <w:t>of the total number of full</w:t>
      </w:r>
      <w:r w:rsidR="00CE3AE0">
        <w:t>-</w:t>
      </w:r>
      <w:r w:rsidR="00107FEB" w:rsidRPr="00B70AC4">
        <w:t>time tenured and tenure-track faculty (MUPIM 7.11.E).</w:t>
      </w:r>
      <w:r w:rsidR="00343D00">
        <w:t xml:space="preserve"> An ad hoc committee developed additional guidelines and recommendations for promotion of LCPL faculty in 2014.</w:t>
      </w:r>
    </w:p>
    <w:p w:rsidR="00BC4BDD" w:rsidRPr="00807812" w:rsidRDefault="00495F8C" w:rsidP="00BC4BDD">
      <w:r w:rsidRPr="00807812">
        <w:t xml:space="preserve">As described in the narrative for Criterion </w:t>
      </w:r>
      <w:r w:rsidR="00BC4BDD" w:rsidRPr="00807812">
        <w:t xml:space="preserve">3A, </w:t>
      </w:r>
      <w:r w:rsidR="004E12AF" w:rsidRPr="00807812">
        <w:t>all courses and academic programs undergo a rigorous, multi-step review and approval process involving faculty at the departmental, divisional</w:t>
      </w:r>
      <w:r w:rsidR="007E59C5" w:rsidRPr="00807812">
        <w:t>,</w:t>
      </w:r>
      <w:r w:rsidR="00807812" w:rsidRPr="00807812">
        <w:t xml:space="preserve"> and u</w:t>
      </w:r>
      <w:r w:rsidR="004E12AF" w:rsidRPr="00807812">
        <w:t xml:space="preserve">niversity levels. </w:t>
      </w:r>
      <w:r w:rsidR="00BC4BDD" w:rsidRPr="00807812">
        <w:t xml:space="preserve"> As stipulated in t</w:t>
      </w:r>
      <w:r w:rsidR="00807812" w:rsidRPr="00807812">
        <w:t>he introductory article of the enabling a</w:t>
      </w:r>
      <w:r w:rsidR="00BC4BDD" w:rsidRPr="00807812">
        <w:t xml:space="preserve">ct, </w:t>
      </w:r>
      <w:r w:rsidR="004E12AF" w:rsidRPr="00807812">
        <w:t>Universit</w:t>
      </w:r>
      <w:r w:rsidR="00BC4BDD" w:rsidRPr="00807812">
        <w:t>y Senate (which includes faculty from all divisions) has the “responsibility for curriculum, programs, and course offerings.”</w:t>
      </w:r>
      <w:r w:rsidR="00EA0452" w:rsidRPr="00807812">
        <w:t xml:space="preserve">  As the Global Miami Plan was being revised, the director of liberal </w:t>
      </w:r>
      <w:r w:rsidR="00807812">
        <w:t>education presented regularly to</w:t>
      </w:r>
      <w:r w:rsidR="00EA0452" w:rsidRPr="00807812">
        <w:t xml:space="preserve"> University Senate to gain feedback and made revisions accordingly.</w:t>
      </w:r>
      <w:r w:rsidR="00B24491" w:rsidRPr="00807812">
        <w:t xml:space="preserve">  Open meetings, an</w:t>
      </w:r>
      <w:r w:rsidR="00B76D3B" w:rsidRPr="00807812">
        <w:t xml:space="preserve"> interactive website, a faculty survey, and a departmental survey</w:t>
      </w:r>
      <w:r w:rsidR="00B24491" w:rsidRPr="00807812">
        <w:t xml:space="preserve"> were conducted to gain additional </w:t>
      </w:r>
      <w:r w:rsidR="003A18D2" w:rsidRPr="00807812">
        <w:t xml:space="preserve">broad </w:t>
      </w:r>
      <w:r w:rsidR="00B24491" w:rsidRPr="00807812">
        <w:t>input.</w:t>
      </w:r>
    </w:p>
    <w:p w:rsidR="002A76AB" w:rsidRPr="00807812" w:rsidRDefault="002A76AB" w:rsidP="00BC4BDD">
      <w:r w:rsidRPr="00807812">
        <w:t>Guidelines for grading are arti</w:t>
      </w:r>
      <w:r w:rsidR="00D33163" w:rsidRPr="00807812">
        <w:t xml:space="preserve">culated in the General </w:t>
      </w:r>
      <w:r w:rsidR="007E59C5" w:rsidRPr="00807812">
        <w:t>Bulletin, and chapter 3 of the student h</w:t>
      </w:r>
      <w:r w:rsidR="00D33163" w:rsidRPr="00807812">
        <w:t>andbook; any changes to these guidelines must be approved by University Senate.</w:t>
      </w:r>
      <w:r w:rsidR="0049410B" w:rsidRPr="00807812">
        <w:t xml:space="preserve">  Some departments have more detail</w:t>
      </w:r>
      <w:r w:rsidR="00EA7FE3" w:rsidRPr="00807812">
        <w:t xml:space="preserve">ed guidelines for grading (e.g., GREAL, History). </w:t>
      </w:r>
      <w:r w:rsidR="0021752D" w:rsidRPr="00807812">
        <w:t xml:space="preserve">All syllabi for Miami courses are required to articulate grading and assessment criteria.  </w:t>
      </w:r>
      <w:r w:rsidR="009A6C4A" w:rsidRPr="00807812">
        <w:t>The Center for the Enhancement of Learning, Teaching, and University Assessment (CELTUA) has a range of resources and i</w:t>
      </w:r>
      <w:r w:rsidR="001B47B6" w:rsidRPr="00807812">
        <w:t>nformation on grading</w:t>
      </w:r>
      <w:r w:rsidR="009A6C4A" w:rsidRPr="00807812">
        <w:t xml:space="preserve"> </w:t>
      </w:r>
      <w:r w:rsidR="0021752D" w:rsidRPr="00807812">
        <w:t>and regularly offers workshops on grading, assessment, and testing strategies.</w:t>
      </w:r>
    </w:p>
    <w:p w:rsidR="001B47B6" w:rsidRDefault="001B47B6" w:rsidP="00807812">
      <w:r>
        <w:lastRenderedPageBreak/>
        <w:t>Since they deliver the curriculum, f</w:t>
      </w:r>
      <w:r w:rsidR="00D01557">
        <w:t xml:space="preserve">aculty </w:t>
      </w:r>
      <w:r w:rsidR="00D33163">
        <w:t xml:space="preserve">members </w:t>
      </w:r>
      <w:r w:rsidR="00D01557">
        <w:t xml:space="preserve">are integrally involved in all stages of student learning outcomes assessment.  </w:t>
      </w:r>
      <w:r w:rsidR="00B24491">
        <w:t xml:space="preserve">Departments </w:t>
      </w:r>
      <w:r w:rsidR="00725967">
        <w:t xml:space="preserve">are required </w:t>
      </w:r>
      <w:r w:rsidR="00B24491">
        <w:t>to develop outcomes, assessment plans, and annual as</w:t>
      </w:r>
      <w:r w:rsidR="00B76D3B">
        <w:t xml:space="preserve">sessment reports for </w:t>
      </w:r>
      <w:r w:rsidR="00AE1949">
        <w:t xml:space="preserve">their </w:t>
      </w:r>
      <w:r w:rsidR="00B76D3B">
        <w:t>graduate and undergraduate degree programs</w:t>
      </w:r>
      <w:r w:rsidR="00B24491">
        <w:t xml:space="preserve">.  All departments are </w:t>
      </w:r>
      <w:r w:rsidR="00AE1949">
        <w:t xml:space="preserve">also </w:t>
      </w:r>
      <w:r w:rsidR="00B24491">
        <w:t>required to share</w:t>
      </w:r>
      <w:r>
        <w:t xml:space="preserve"> and discuss</w:t>
      </w:r>
      <w:r w:rsidR="00B24491">
        <w:t xml:space="preserve"> outcomes, plans</w:t>
      </w:r>
      <w:r>
        <w:t>, and reports</w:t>
      </w:r>
      <w:r w:rsidR="003A18D2">
        <w:t xml:space="preserve"> and use assessment data to guide</w:t>
      </w:r>
      <w:r w:rsidR="00B24491">
        <w:t xml:space="preserve"> program improvement.  </w:t>
      </w:r>
      <w:r>
        <w:t>Assessment plans and reports are reviewed and approved by divisional curricu</w:t>
      </w:r>
      <w:r w:rsidR="00AE1949">
        <w:t>lum committees, using</w:t>
      </w:r>
      <w:r>
        <w:t xml:space="preserve"> guidelines created by CELTUA.</w:t>
      </w:r>
    </w:p>
    <w:p w:rsidR="00725967" w:rsidRDefault="009A6C4A" w:rsidP="00807812">
      <w:r>
        <w:t xml:space="preserve">CELTUA </w:t>
      </w:r>
      <w:r w:rsidR="00281C8D">
        <w:t>provides workshops, one-on-one and department-based consultations, and online resources to assist departments in the development</w:t>
      </w:r>
      <w:r w:rsidR="00CE3AE0">
        <w:t xml:space="preserve"> of assessment plans and report</w:t>
      </w:r>
      <w:r w:rsidR="00281C8D">
        <w:t xml:space="preserve">s.  </w:t>
      </w:r>
      <w:r w:rsidR="00AE1949">
        <w:t xml:space="preserve">In addition to an assessment coordinator staff member who oversees university-level assessment activities, </w:t>
      </w:r>
      <w:r w:rsidR="00281C8D">
        <w:t>CELTUA also trains a set of “Assessment Fellows” who are faculty mem</w:t>
      </w:r>
      <w:r w:rsidR="00C91B71">
        <w:t>bers from across the u</w:t>
      </w:r>
      <w:r w:rsidR="009A6009">
        <w:t>niversity.  These fellows</w:t>
      </w:r>
      <w:r w:rsidR="006C77F0">
        <w:t xml:space="preserve"> conduct additional assessment studies (such as the Critical Thinking Project) and </w:t>
      </w:r>
      <w:r w:rsidR="00281C8D">
        <w:t xml:space="preserve">serve as </w:t>
      </w:r>
      <w:r w:rsidR="006C77F0">
        <w:t xml:space="preserve">readily available </w:t>
      </w:r>
      <w:r w:rsidR="00281C8D">
        <w:t>resources to departments within their own academic division.</w:t>
      </w:r>
    </w:p>
    <w:p w:rsidR="00281C8D" w:rsidRDefault="009A6009" w:rsidP="00807812">
      <w:r>
        <w:t xml:space="preserve">To further ensure the quality of its learning environment, </w:t>
      </w:r>
      <w:r w:rsidR="0038627C">
        <w:t xml:space="preserve">Miami has </w:t>
      </w:r>
      <w:r w:rsidR="0047225B">
        <w:t xml:space="preserve">established the academic credentials for the </w:t>
      </w:r>
      <w:r w:rsidR="001A2BDE">
        <w:t>appointment,</w:t>
      </w:r>
      <w:r w:rsidR="008C476D">
        <w:t xml:space="preserve"> </w:t>
      </w:r>
      <w:r w:rsidR="0047225B">
        <w:t xml:space="preserve">evaluation, and promotion of instructional </w:t>
      </w:r>
      <w:r w:rsidR="001A2BDE">
        <w:t>staff (MUPIM section 7). Assistant, associate</w:t>
      </w:r>
      <w:r w:rsidR="00616198">
        <w:t>,</w:t>
      </w:r>
      <w:r w:rsidR="001A2BDE">
        <w:t xml:space="preserve"> and full professors hold an earned doctorate or other terminal degree from an accredited college or university</w:t>
      </w:r>
      <w:r w:rsidR="00493253">
        <w:t xml:space="preserve"> and meet other criteria related to teaching, research, service</w:t>
      </w:r>
      <w:r>
        <w:t>,</w:t>
      </w:r>
      <w:r w:rsidR="00493253">
        <w:t xml:space="preserve"> and collegiality.  LCPL faculty and instructors must hold at least a master’s degree from an accredited institution.  Guidelines for the promotion of LCPL faculty and tenured or tenure-eligible faculty are reviewed and approved by University Senate annually.</w:t>
      </w:r>
      <w:r w:rsidR="00343D00">
        <w:t xml:space="preserve"> A list of instructional staff and their credentials is available on departmental websites</w:t>
      </w:r>
      <w:r w:rsidR="00E33649">
        <w:t>, on the Provost website,</w:t>
      </w:r>
      <w:r w:rsidR="00616198">
        <w:t xml:space="preserve"> and in the Office of Institutional Research</w:t>
      </w:r>
      <w:r w:rsidR="00343D00">
        <w:t>.</w:t>
      </w:r>
    </w:p>
    <w:p w:rsidR="00351DCB" w:rsidRDefault="00D16BA6" w:rsidP="00807812">
      <w:r>
        <w:t>To better guarantee</w:t>
      </w:r>
      <w:r w:rsidR="00351DCB">
        <w:t xml:space="preserve"> that all instructional and support staff are well-qualified for their positions, Miami purchased a </w:t>
      </w:r>
      <w:r w:rsidR="00BF0A00">
        <w:t>new software system (HireTouch</w:t>
      </w:r>
      <w:r w:rsidR="00351DCB">
        <w:t xml:space="preserve">) </w:t>
      </w:r>
      <w:r w:rsidR="00DA5D2E">
        <w:t>and</w:t>
      </w:r>
      <w:r w:rsidR="00DF5CAA">
        <w:t xml:space="preserve"> will be training</w:t>
      </w:r>
      <w:r w:rsidR="00DA5D2E">
        <w:t xml:space="preserve"> contacts from each department or office </w:t>
      </w:r>
      <w:r w:rsidR="00D35147">
        <w:t>to coordinate the</w:t>
      </w:r>
      <w:r w:rsidR="00351DCB">
        <w:t xml:space="preserve"> review and</w:t>
      </w:r>
      <w:r w:rsidR="00DF5CAA">
        <w:t xml:space="preserve"> evaluation of each appointment once the system is implemented</w:t>
      </w:r>
      <w:r w:rsidR="005F4B27">
        <w:t xml:space="preserve"> in 2015</w:t>
      </w:r>
      <w:r w:rsidR="00DF5CAA">
        <w:t>.</w:t>
      </w:r>
      <w:r w:rsidR="00351DCB">
        <w:t xml:space="preserve">  Instructional staff appointments are approved by the </w:t>
      </w:r>
      <w:r w:rsidR="001C67F6">
        <w:t>department</w:t>
      </w:r>
      <w:r w:rsidR="00616198">
        <w:t>, dean, and p</w:t>
      </w:r>
      <w:r>
        <w:t>rovost;</w:t>
      </w:r>
      <w:r w:rsidR="001C67F6">
        <w:t xml:space="preserve"> and other staff appointments are approved by the supervisor, dean (if applicable)</w:t>
      </w:r>
      <w:r w:rsidR="00616198">
        <w:t>,</w:t>
      </w:r>
      <w:r w:rsidR="001C67F6">
        <w:t xml:space="preserve"> and appropriate vice president</w:t>
      </w:r>
      <w:r w:rsidR="00997841">
        <w:t xml:space="preserve"> (see MUPIM 6.1</w:t>
      </w:r>
      <w:r w:rsidR="00DE7E84">
        <w:t xml:space="preserve"> and 13.2)</w:t>
      </w:r>
      <w:r w:rsidR="001C67F6">
        <w:t xml:space="preserve">. </w:t>
      </w:r>
      <w:r w:rsidR="00997841">
        <w:t xml:space="preserve"> Recruitment plans, a</w:t>
      </w:r>
      <w:r w:rsidR="001C67F6">
        <w:t>dvertisements</w:t>
      </w:r>
      <w:r w:rsidR="00997841">
        <w:t xml:space="preserve">, </w:t>
      </w:r>
      <w:r w:rsidR="00A96955">
        <w:t xml:space="preserve">the </w:t>
      </w:r>
      <w:r w:rsidR="00997841">
        <w:t xml:space="preserve">applicant data collection process, and </w:t>
      </w:r>
      <w:r w:rsidR="00A96955">
        <w:t xml:space="preserve">the </w:t>
      </w:r>
      <w:r w:rsidR="00997841">
        <w:t>selection process</w:t>
      </w:r>
      <w:r w:rsidR="001C67F6">
        <w:t xml:space="preserve"> </w:t>
      </w:r>
      <w:r w:rsidR="00997841">
        <w:t>are carefully screened by the Office of Equity and Equal Opportunity</w:t>
      </w:r>
      <w:r w:rsidR="00447E23">
        <w:t xml:space="preserve"> as well as the Department of Human Resources or </w:t>
      </w:r>
      <w:r>
        <w:t xml:space="preserve">the </w:t>
      </w:r>
      <w:r w:rsidR="00447E23">
        <w:t>Academic Personnel Office to ensure consistency, clarity</w:t>
      </w:r>
      <w:r w:rsidR="00A96955">
        <w:t>, fairness, and alignment with u</w:t>
      </w:r>
      <w:r w:rsidR="00447E23">
        <w:t>niversity priorities</w:t>
      </w:r>
      <w:r w:rsidR="00997841">
        <w:t>.  Background verifications are conducted on any candidate for employment.</w:t>
      </w:r>
    </w:p>
    <w:p w:rsidR="00C24DCE" w:rsidRDefault="00C24DCE" w:rsidP="00807812">
      <w:r>
        <w:t>Miami has two levels of graduate faculty standing</w:t>
      </w:r>
      <w:r w:rsidR="00BB449E">
        <w:t>: Level B and Level A. To receive either standing, f</w:t>
      </w:r>
      <w:r w:rsidR="00F93A0F">
        <w:t>aculty must be nominated by their depart</w:t>
      </w:r>
      <w:r w:rsidR="00A96955">
        <w:t>ment chair and approved by the dean of the G</w:t>
      </w:r>
      <w:r w:rsidR="00F93A0F">
        <w:t xml:space="preserve">raduate School and </w:t>
      </w:r>
      <w:r w:rsidR="00D35147">
        <w:t xml:space="preserve">the </w:t>
      </w:r>
      <w:r w:rsidR="00F93A0F">
        <w:t>Graduate Council</w:t>
      </w:r>
      <w:r w:rsidR="00A10710">
        <w:t xml:space="preserve"> using clearly specified criteria</w:t>
      </w:r>
      <w:r w:rsidR="00F93A0F">
        <w:t>.  Faculty at both levels may instruct graduate credit courses</w:t>
      </w:r>
      <w:r w:rsidR="00A10710">
        <w:t>; however</w:t>
      </w:r>
      <w:r w:rsidR="00D35147">
        <w:t>,</w:t>
      </w:r>
      <w:r w:rsidR="00A10710">
        <w:t xml:space="preserve"> only faculty with Level A standing may serve as thesis or dissertation directors (see graduate handbook 5.1).</w:t>
      </w:r>
    </w:p>
    <w:p w:rsidR="00883FE4" w:rsidRDefault="00883FE4" w:rsidP="00807812">
      <w:r>
        <w:t>In 2013, the University Senate approved dual enrollment guidelines to ensure the quality of offerings and instructional staff.  These guidelines statement that:</w:t>
      </w:r>
    </w:p>
    <w:p w:rsidR="00883FE4" w:rsidRPr="00AB7973" w:rsidRDefault="00883FE4" w:rsidP="000945E2">
      <w:pPr>
        <w:pStyle w:val="ListParagraph"/>
        <w:numPr>
          <w:ilvl w:val="0"/>
          <w:numId w:val="45"/>
        </w:numPr>
      </w:pPr>
      <w:r w:rsidRPr="00AB7973">
        <w:t>Instructors must be a</w:t>
      </w:r>
      <w:r w:rsidR="00CF1E9D">
        <w:t xml:space="preserve">pproved by the </w:t>
      </w:r>
      <w:r w:rsidRPr="00AB7973">
        <w:t>department or program offering the course.  Instructors who are not members of the Miami faculty must hold the same qualifications as Miami University instructors for the course taught.</w:t>
      </w:r>
    </w:p>
    <w:p w:rsidR="00883FE4" w:rsidRPr="00AB7973" w:rsidRDefault="00883FE4" w:rsidP="000945E2">
      <w:pPr>
        <w:pStyle w:val="ListParagraph"/>
        <w:numPr>
          <w:ilvl w:val="0"/>
          <w:numId w:val="45"/>
        </w:numPr>
      </w:pPr>
      <w:r w:rsidRPr="00AB7973">
        <w:t>Instructors must hold a degree from a nationally accredited institution</w:t>
      </w:r>
      <w:r w:rsidR="00CF1E9D">
        <w:t xml:space="preserve">, and the </w:t>
      </w:r>
      <w:r w:rsidRPr="00AB7973">
        <w:t>degree must be at least one level above that of the program in which they are teaching with demonstrated expertise in that area.  At least a master’s degree is required for instructors of general education (</w:t>
      </w:r>
      <w:r w:rsidR="00D16BA6">
        <w:t xml:space="preserve">Global </w:t>
      </w:r>
      <w:r w:rsidRPr="00AB7973">
        <w:t>Miami Plan) courses.</w:t>
      </w:r>
    </w:p>
    <w:p w:rsidR="00883FE4" w:rsidRPr="00AB7973" w:rsidRDefault="00883FE4" w:rsidP="000945E2">
      <w:pPr>
        <w:pStyle w:val="ListParagraph"/>
        <w:numPr>
          <w:ilvl w:val="0"/>
          <w:numId w:val="45"/>
        </w:numPr>
      </w:pPr>
      <w:r w:rsidRPr="00AB7973">
        <w:t xml:space="preserve">For programs involving clinical faculty, the credentials and involvement of clinical faculty </w:t>
      </w:r>
      <w:r w:rsidR="00BF0A00">
        <w:t xml:space="preserve">must </w:t>
      </w:r>
      <w:r w:rsidRPr="00AB7973">
        <w:t>meet applicable professional standards for the delivery of the educational experience.</w:t>
      </w:r>
    </w:p>
    <w:p w:rsidR="00883FE4" w:rsidRDefault="00883FE4" w:rsidP="000945E2">
      <w:pPr>
        <w:pStyle w:val="ListParagraph"/>
        <w:numPr>
          <w:ilvl w:val="0"/>
          <w:numId w:val="45"/>
        </w:numPr>
      </w:pPr>
      <w:r w:rsidRPr="00AB7973">
        <w:lastRenderedPageBreak/>
        <w:t>Special efforts must be made to maintain academic continuity and quality if instructors teach at a school district site.  The efforts include participation in a course-specific orientation session facilitated by the relevant Miami academic department; classroom observations and syllabi review by permanent Miami faculty from the host academic department or program; regular communication between the dual enrollment instructor and a Miami University faculty liaison in the academic department offering the course; and periodic discipline-specific professional development.</w:t>
      </w:r>
    </w:p>
    <w:p w:rsidR="00136E35" w:rsidRDefault="00B974C7" w:rsidP="00CC1B76">
      <w:r>
        <w:t xml:space="preserve">Metric 11 of the Miami 2020 Plan sets the goal of an annual evaluation and </w:t>
      </w:r>
      <w:r w:rsidR="00BB449E">
        <w:t xml:space="preserve">a </w:t>
      </w:r>
      <w:r>
        <w:t xml:space="preserve">measurable professional plan for 100% of Miami employees, and the Miami policy manual </w:t>
      </w:r>
      <w:r w:rsidR="00B50BE6">
        <w:t xml:space="preserve">mandates the annual review of probationary members of the instructional staff (MUPIM 7.5) and </w:t>
      </w:r>
      <w:r>
        <w:t xml:space="preserve">articulates a detailed process for the </w:t>
      </w:r>
      <w:r w:rsidR="00B50BE6">
        <w:t>tenure and promotion process (MUPIM 7.8)</w:t>
      </w:r>
      <w:r w:rsidR="00946EC6">
        <w:t>.  MUPIM 7.4 notes that faculty are expected to demonstrate “high-quality teaching and academic advising”</w:t>
      </w:r>
      <w:r w:rsidR="00136E35">
        <w:t xml:space="preserve"> which includes “integrating new developments in the field and new methods of instruction</w:t>
      </w:r>
      <w:r w:rsidR="00A118B3">
        <w:t>” and “maintenance for regularly scheduled office hours and an interest in students indicat</w:t>
      </w:r>
      <w:r w:rsidR="00F05608">
        <w:t>ed by availability for conferences, or one-to-one contact, etc.</w:t>
      </w:r>
      <w:r w:rsidR="00136E35">
        <w:t xml:space="preserve">,” and tenure-track and tenured faculty should also produce “research, scholarly and/or creative achievement of high quality and its prospective continuation.” </w:t>
      </w:r>
      <w:r w:rsidR="00E935BB">
        <w:t xml:space="preserve"> Faculty submit annual performance reports and are awarded salary merit i</w:t>
      </w:r>
      <w:r w:rsidR="00D16BA6">
        <w:t>ncrements based in part on the</w:t>
      </w:r>
      <w:r w:rsidR="00E935BB">
        <w:t xml:space="preserve"> criteria</w:t>
      </w:r>
      <w:r w:rsidR="00D16BA6">
        <w:t xml:space="preserve"> described in this paragraph</w:t>
      </w:r>
      <w:r w:rsidR="00E935BB">
        <w:t xml:space="preserve">.  </w:t>
      </w:r>
    </w:p>
    <w:p w:rsidR="003B1C26" w:rsidRDefault="003B1C26" w:rsidP="00CC1B76">
      <w:r>
        <w:t>Miami policy stipulates that all instructional staff are expected to establish and</w:t>
      </w:r>
      <w:r w:rsidR="0045466E">
        <w:t xml:space="preserve"> maintain regular office hours, and </w:t>
      </w:r>
      <w:r>
        <w:t>office hours should be articulated on course syllabi, reported to department chairs, and posted publicly (MUPIM 5.7).</w:t>
      </w:r>
    </w:p>
    <w:p w:rsidR="00136E35" w:rsidRPr="00CC1B76" w:rsidRDefault="00F05608" w:rsidP="00CC1B76">
      <w:r w:rsidRPr="00CC1B76">
        <w:t xml:space="preserve">Professional </w:t>
      </w:r>
      <w:r w:rsidR="00895CD6" w:rsidRPr="00CC1B76">
        <w:t xml:space="preserve">faculty development </w:t>
      </w:r>
      <w:r w:rsidR="00CE3AE0">
        <w:t>is</w:t>
      </w:r>
      <w:r w:rsidRPr="00CC1B76">
        <w:t xml:space="preserve"> provided through programming offered by CELTUA, the Howe Center for Writing Excellence, the Howe Writing Initiative, and other Miami </w:t>
      </w:r>
      <w:r w:rsidR="00CE3AE0">
        <w:t xml:space="preserve">divisions, </w:t>
      </w:r>
      <w:r w:rsidRPr="00CC1B76">
        <w:t>offices</w:t>
      </w:r>
      <w:r w:rsidR="00134897">
        <w:t>,</w:t>
      </w:r>
      <w:r w:rsidRPr="00CC1B76">
        <w:t xml:space="preserve"> and centers.  </w:t>
      </w:r>
      <w:r w:rsidR="001214F7" w:rsidRPr="00CC1B76">
        <w:t>New faculty</w:t>
      </w:r>
      <w:r w:rsidR="002A1A24" w:rsidRPr="00CC1B76">
        <w:t xml:space="preserve"> </w:t>
      </w:r>
      <w:r w:rsidR="001214F7" w:rsidRPr="00CC1B76">
        <w:t xml:space="preserve">participate in a multi-day orientation co-sponsored by CELTUA and the Office of the Provost.  Tenured and tenure-eligible faculty may also apply for </w:t>
      </w:r>
      <w:r w:rsidR="0045466E" w:rsidRPr="00CC1B76">
        <w:t>on or off-c</w:t>
      </w:r>
      <w:r w:rsidR="00A02BBC" w:rsidRPr="00CC1B76">
        <w:t xml:space="preserve">ampus </w:t>
      </w:r>
      <w:r w:rsidR="001214F7" w:rsidRPr="00CC1B76">
        <w:t xml:space="preserve">Assigned Research Appointments </w:t>
      </w:r>
      <w:r w:rsidR="0045466E" w:rsidRPr="00CC1B76">
        <w:t xml:space="preserve">(ARAs) </w:t>
      </w:r>
      <w:r w:rsidR="001214F7" w:rsidRPr="00CC1B76">
        <w:t>and Faculty Improvement Leaves</w:t>
      </w:r>
      <w:r w:rsidR="0045466E" w:rsidRPr="00CC1B76">
        <w:t xml:space="preserve"> (FILs)</w:t>
      </w:r>
      <w:r w:rsidR="001214F7" w:rsidRPr="00CC1B76">
        <w:t xml:space="preserve"> (MUPIM </w:t>
      </w:r>
      <w:r w:rsidR="00A02BBC" w:rsidRPr="00CC1B76">
        <w:t>6.7, 6.8) which enable faculty to engage in disciplinary or pedagogical research and development.  Funds are also available for conferences, research</w:t>
      </w:r>
      <w:r w:rsidR="00895CD6" w:rsidRPr="00CC1B76">
        <w:t>-related</w:t>
      </w:r>
      <w:r w:rsidR="00A02BBC" w:rsidRPr="00CC1B76">
        <w:t xml:space="preserve"> travel</w:t>
      </w:r>
      <w:r w:rsidR="00895CD6" w:rsidRPr="00CC1B76">
        <w:t xml:space="preserve">, and other </w:t>
      </w:r>
      <w:r w:rsidR="00A02BBC" w:rsidRPr="00CC1B76">
        <w:t>related expenses. The Office for the Advancement of Research &amp; Scholarship regularly offer</w:t>
      </w:r>
      <w:r w:rsidR="00616198" w:rsidRPr="00CC1B76">
        <w:t>s</w:t>
      </w:r>
      <w:r w:rsidR="00895CD6" w:rsidRPr="00CC1B76">
        <w:t xml:space="preserve"> research-orient</w:t>
      </w:r>
      <w:r w:rsidR="00A02BBC" w:rsidRPr="00CC1B76">
        <w:t>ed workshops and support for grants and other research activity.</w:t>
      </w:r>
    </w:p>
    <w:p w:rsidR="00CC1B76" w:rsidRPr="00CC1B76" w:rsidRDefault="00883FE4" w:rsidP="00CC1B76">
      <w:r w:rsidRPr="00CC1B76">
        <w:t>The Department of Human Resources provides numerous opportunities for the professional development of staff and faculty, including a supervisor development series, coaching, topical workshops</w:t>
      </w:r>
      <w:r w:rsidR="00670FCB" w:rsidRPr="00CC1B76">
        <w:t>, and LEAN leader certi</w:t>
      </w:r>
      <w:r w:rsidR="00447E23" w:rsidRPr="00CC1B76">
        <w:t>fi</w:t>
      </w:r>
      <w:r w:rsidR="0038627C">
        <w:t>cation. Information Technology</w:t>
      </w:r>
      <w:r w:rsidR="00CC1B76" w:rsidRPr="00CC1B76">
        <w:t xml:space="preserve"> Services makes available</w:t>
      </w:r>
      <w:r w:rsidR="00670FCB" w:rsidRPr="00CC1B76">
        <w:t xml:space="preserve"> one-on-one consulting as well as online and face-to-face workshops on software applications and advanced technical skills, a</w:t>
      </w:r>
      <w:r w:rsidR="00CC1B76" w:rsidRPr="00CC1B76">
        <w:t>nd the E-Learning Office offer</w:t>
      </w:r>
      <w:r w:rsidR="00670FCB" w:rsidRPr="00CC1B76">
        <w:t>s workshops, programs</w:t>
      </w:r>
      <w:r w:rsidR="00895CD6" w:rsidRPr="00CC1B76">
        <w:t>,</w:t>
      </w:r>
      <w:r w:rsidR="00670FCB" w:rsidRPr="00CC1B76">
        <w:t xml:space="preserve"> and consulting on instructional design and e-learning.  </w:t>
      </w:r>
    </w:p>
    <w:p w:rsidR="000F53D3" w:rsidRPr="00CC1B76" w:rsidRDefault="00A51E44" w:rsidP="00CC1B76">
      <w:pPr>
        <w:rPr>
          <w:sz w:val="23"/>
          <w:szCs w:val="23"/>
        </w:rPr>
      </w:pPr>
      <w:r w:rsidRPr="00CC1B76">
        <w:t xml:space="preserve">Academic and other vice-presidential divisions provide specialized professional development opportunities and other resources for support staff.  </w:t>
      </w:r>
      <w:r w:rsidR="00082476" w:rsidRPr="00CC1B76">
        <w:t>For example, as a part of the annual professional staff</w:t>
      </w:r>
      <w:r w:rsidR="000F53D3" w:rsidRPr="00CC1B76">
        <w:t xml:space="preserve"> evaluation</w:t>
      </w:r>
      <w:r w:rsidR="00574A01">
        <w:t xml:space="preserve"> in the D</w:t>
      </w:r>
      <w:r w:rsidR="00082476" w:rsidRPr="00CC1B76">
        <w:t>ivision of Student Affairs</w:t>
      </w:r>
      <w:r w:rsidR="000F53D3" w:rsidRPr="00CC1B76">
        <w:t>, staff members are encouraged to identify local, regional, and national conferences, webinars, on and off campus trainings, articles or books to read that can contribute to their professional develo</w:t>
      </w:r>
      <w:r w:rsidR="00B0384F">
        <w:t xml:space="preserve">pment. Each unit </w:t>
      </w:r>
      <w:r w:rsidR="000F53D3" w:rsidRPr="00CC1B76">
        <w:t>submit</w:t>
      </w:r>
      <w:r w:rsidR="00B0384F">
        <w:t>s an annual report describing its activities</w:t>
      </w:r>
      <w:r w:rsidR="000F53D3" w:rsidRPr="00CC1B76">
        <w:t>, including a comprehensive list of conferences attended, presentations given, and any other professional development activities.</w:t>
      </w:r>
      <w:r w:rsidR="00082476" w:rsidRPr="00CC1B76">
        <w:t xml:space="preserve"> </w:t>
      </w:r>
      <w:r w:rsidR="000F53D3" w:rsidRPr="00CC1B76">
        <w:t>Ad</w:t>
      </w:r>
      <w:r w:rsidR="00B0384F">
        <w:t>ditionally, the division has a professional development c</w:t>
      </w:r>
      <w:r w:rsidR="000F53D3" w:rsidRPr="00CC1B76">
        <w:t>ommittee that works throughout the year to organize activities, speakers, and trainings for any member of the division who wishes to participate.</w:t>
      </w:r>
      <w:r w:rsidR="00574A01">
        <w:t xml:space="preserve">  For example, i</w:t>
      </w:r>
      <w:r w:rsidR="00B0384F">
        <w:t xml:space="preserve">n 2013-2014, the committee </w:t>
      </w:r>
      <w:r w:rsidR="000F53D3" w:rsidRPr="00CC1B76">
        <w:t>organized a book discussion group, brown bag lunches to address various issues, and</w:t>
      </w:r>
      <w:r w:rsidR="000F53D3">
        <w:t xml:space="preserve"> supported the development of graduate students in the Student Affairs in Higher Education program through coordinating mo</w:t>
      </w:r>
      <w:r w:rsidR="00574A01">
        <w:t>ck interviews. The committee recently</w:t>
      </w:r>
      <w:r w:rsidR="000F53D3">
        <w:t xml:space="preserve"> completed a needs assessment that will guide their efforts in the upcoming academic year. </w:t>
      </w:r>
    </w:p>
    <w:p w:rsidR="004646F8" w:rsidRDefault="00A51E44" w:rsidP="00136E35">
      <w:r w:rsidRPr="00E579F2">
        <w:lastRenderedPageBreak/>
        <w:t xml:space="preserve">The Division of Enrollment Management and Student Success provides support for its </w:t>
      </w:r>
      <w:r w:rsidR="00644E55" w:rsidRPr="00E579F2">
        <w:t>staff</w:t>
      </w:r>
      <w:r w:rsidR="00CF1E9D" w:rsidRPr="00E579F2">
        <w:t xml:space="preserve"> through on-campus</w:t>
      </w:r>
      <w:r w:rsidR="00AE5E93" w:rsidRPr="00E579F2">
        <w:t xml:space="preserve"> </w:t>
      </w:r>
      <w:r w:rsidR="00CF1E9D" w:rsidRPr="00E579F2">
        <w:t>(workshops, training programs, webinars) and off-campus opportunities (e.g., me</w:t>
      </w:r>
      <w:r w:rsidR="00AE5E93" w:rsidRPr="00E579F2">
        <w:t>mbership</w:t>
      </w:r>
      <w:r w:rsidR="001F10EB" w:rsidRPr="00E579F2">
        <w:t xml:space="preserve"> and conference participation</w:t>
      </w:r>
      <w:r w:rsidR="00CF1E9D" w:rsidRPr="00E579F2">
        <w:t xml:space="preserve"> in professional organizations </w:t>
      </w:r>
      <w:r w:rsidR="001F10EB" w:rsidRPr="00E579F2">
        <w:t xml:space="preserve">or vendors </w:t>
      </w:r>
      <w:r w:rsidR="00CF1E9D" w:rsidRPr="00E579F2">
        <w:t xml:space="preserve">such as </w:t>
      </w:r>
      <w:r w:rsidR="00644E55" w:rsidRPr="00E579F2">
        <w:t>Ohio Bursar’s Association, NACUBO, Ohio Banner Users, Ellucian</w:t>
      </w:r>
      <w:r w:rsidR="00C67391">
        <w:t>,</w:t>
      </w:r>
      <w:r w:rsidR="00644E55" w:rsidRPr="00E579F2">
        <w:t xml:space="preserve"> </w:t>
      </w:r>
      <w:r w:rsidR="00AE5E93" w:rsidRPr="00E579F2">
        <w:t>NACAC, OACRAO</w:t>
      </w:r>
      <w:r w:rsidR="001F10EB" w:rsidRPr="00E579F2">
        <w:t xml:space="preserve">, AACRAO, College Board, </w:t>
      </w:r>
      <w:r w:rsidR="00AE5E93" w:rsidRPr="00E579F2">
        <w:t>Common App</w:t>
      </w:r>
      <w:r w:rsidR="00C67391">
        <w:t xml:space="preserve">lication, </w:t>
      </w:r>
      <w:r w:rsidR="00AE5E93" w:rsidRPr="00E579F2">
        <w:t>Technolutions Slate Summit</w:t>
      </w:r>
      <w:r w:rsidR="00C67391">
        <w:t>,</w:t>
      </w:r>
      <w:r w:rsidR="00AE5E93" w:rsidRPr="00E579F2">
        <w:t xml:space="preserve"> among others).</w:t>
      </w:r>
      <w:r w:rsidR="001F10EB" w:rsidRPr="00E579F2">
        <w:t xml:space="preserve"> </w:t>
      </w:r>
    </w:p>
    <w:p w:rsidR="00C11491" w:rsidRDefault="00C11491" w:rsidP="000F04F1">
      <w:r w:rsidRPr="00E579F2">
        <w:t>University Libraries staff must meet a set of personal a</w:t>
      </w:r>
      <w:r w:rsidR="001F10EB" w:rsidRPr="00E579F2">
        <w:t>nd</w:t>
      </w:r>
      <w:r w:rsidR="001F10EB">
        <w:t xml:space="preserve"> professional competencies </w:t>
      </w:r>
      <w:r>
        <w:t>and receive on</w:t>
      </w:r>
      <w:r w:rsidR="00064C2C">
        <w:t>going professional development through conference participation, publications, workshops</w:t>
      </w:r>
      <w:r w:rsidR="00574A01">
        <w:t>,</w:t>
      </w:r>
      <w:r w:rsidR="00064C2C">
        <w:t xml:space="preserve"> and on-campus training.</w:t>
      </w:r>
    </w:p>
    <w:p w:rsidR="00862BB8" w:rsidRPr="00E579F2" w:rsidRDefault="00862BB8" w:rsidP="000F04F1">
      <w:r w:rsidRPr="00E579F2">
        <w:t xml:space="preserve">IT staff development is tied closely to its </w:t>
      </w:r>
      <w:r w:rsidR="00425247" w:rsidRPr="00E579F2">
        <w:t xml:space="preserve">intensive </w:t>
      </w:r>
      <w:r w:rsidRPr="00E579F2">
        <w:t xml:space="preserve">performance assessment process which </w:t>
      </w:r>
      <w:r w:rsidR="00425247" w:rsidRPr="00E579F2">
        <w:t xml:space="preserve">includes meetings with two managers, an evaluation process, </w:t>
      </w:r>
      <w:r w:rsidR="00B0384F">
        <w:t xml:space="preserve">a </w:t>
      </w:r>
      <w:r w:rsidR="00425247" w:rsidRPr="00E579F2">
        <w:t>review of goals</w:t>
      </w:r>
      <w:r w:rsidR="00B0384F">
        <w:t>,</w:t>
      </w:r>
      <w:r w:rsidR="00425247" w:rsidRPr="00E579F2">
        <w:t xml:space="preserve"> and completion of </w:t>
      </w:r>
      <w:r w:rsidR="00B0384F">
        <w:t xml:space="preserve">the </w:t>
      </w:r>
      <w:r w:rsidR="00425247" w:rsidRPr="00E579F2">
        <w:t>university-</w:t>
      </w:r>
      <w:r w:rsidR="00E579F2" w:rsidRPr="00E579F2">
        <w:t>based assessment form. IT</w:t>
      </w:r>
      <w:r w:rsidRPr="00E579F2">
        <w:t xml:space="preserve"> managers make </w:t>
      </w:r>
      <w:r w:rsidR="00E579F2" w:rsidRPr="00E579F2">
        <w:t xml:space="preserve">annual </w:t>
      </w:r>
      <w:r w:rsidR="00F20D2C">
        <w:t xml:space="preserve">requests for </w:t>
      </w:r>
      <w:r w:rsidRPr="00E579F2">
        <w:t>funding for staff development based on the needs identified during goal setting.  These expenses include onsite and offsite training and professional conferences, certification t</w:t>
      </w:r>
      <w:r w:rsidR="00E579F2" w:rsidRPr="00E579F2">
        <w:t xml:space="preserve">raining, exams and renewals, </w:t>
      </w:r>
      <w:r w:rsidRPr="00E579F2">
        <w:t>memberships</w:t>
      </w:r>
      <w:r w:rsidR="00E579F2" w:rsidRPr="00E579F2">
        <w:t xml:space="preserve"> in professional organization</w:t>
      </w:r>
      <w:r w:rsidR="00852021">
        <w:t>s and other thought leadership associations</w:t>
      </w:r>
      <w:r w:rsidR="00E579F2" w:rsidRPr="00E579F2">
        <w:t xml:space="preserve"> as well as </w:t>
      </w:r>
      <w:r w:rsidRPr="00E579F2">
        <w:t xml:space="preserve">training offered through </w:t>
      </w:r>
      <w:r w:rsidR="00BF0A00">
        <w:t xml:space="preserve">the Department of </w:t>
      </w:r>
      <w:r w:rsidRPr="00E579F2">
        <w:t>Human Resources.</w:t>
      </w:r>
    </w:p>
    <w:p w:rsidR="00883FE4" w:rsidRPr="00136E35" w:rsidRDefault="00AA3401" w:rsidP="00F20D2C">
      <w:r>
        <w:t xml:space="preserve">In 2014, the Undergraduate Academic Advising Council created a university-wide set of advising goals and outcomes </w:t>
      </w:r>
      <w:r w:rsidR="00C3372C">
        <w:t xml:space="preserve">(which are aligned with National Academic Advising Association standards) </w:t>
      </w:r>
      <w:r>
        <w:t>and training modules for faculty and staff advisors to ensure greater consis</w:t>
      </w:r>
      <w:r w:rsidR="00C91B71">
        <w:t>tency in advisement across the u</w:t>
      </w:r>
      <w:r>
        <w:t>niversity.  These modules were piloted in 20</w:t>
      </w:r>
      <w:r w:rsidR="00D5693D">
        <w:t xml:space="preserve">14 </w:t>
      </w:r>
      <w:r w:rsidR="00F9015D">
        <w:t>and will be offered across the u</w:t>
      </w:r>
      <w:r w:rsidR="00D5693D">
        <w:t>niversity,</w:t>
      </w:r>
      <w:r>
        <w:t xml:space="preserve"> beginning in 2015.</w:t>
      </w:r>
      <w:r w:rsidR="00F62CCA">
        <w:t xml:space="preserve"> </w:t>
      </w:r>
    </w:p>
    <w:p w:rsidR="00455E52" w:rsidRDefault="00455E52" w:rsidP="00455E52">
      <w:pPr>
        <w:pStyle w:val="Heading2"/>
      </w:pPr>
      <w:r>
        <w:t>Sources</w:t>
      </w:r>
    </w:p>
    <w:p w:rsidR="009D48C4" w:rsidRPr="00C3372C" w:rsidRDefault="009D48C4" w:rsidP="00343D00">
      <w:pPr>
        <w:pStyle w:val="NoSpacing"/>
        <w:numPr>
          <w:ilvl w:val="0"/>
          <w:numId w:val="7"/>
        </w:numPr>
        <w:ind w:left="252" w:hanging="252"/>
        <w:rPr>
          <w:sz w:val="20"/>
          <w:szCs w:val="20"/>
        </w:rPr>
      </w:pPr>
      <w:r w:rsidRPr="00C3372C">
        <w:rPr>
          <w:sz w:val="20"/>
          <w:szCs w:val="20"/>
        </w:rPr>
        <w:t xml:space="preserve">IPEDS </w:t>
      </w:r>
      <w:r w:rsidR="00343D00" w:rsidRPr="00C3372C">
        <w:rPr>
          <w:sz w:val="20"/>
          <w:szCs w:val="20"/>
        </w:rPr>
        <w:t xml:space="preserve">, </w:t>
      </w:r>
      <w:r w:rsidR="00814473">
        <w:rPr>
          <w:sz w:val="20"/>
          <w:szCs w:val="20"/>
        </w:rPr>
        <w:t>HLC Institutional U</w:t>
      </w:r>
      <w:r w:rsidRPr="00C3372C">
        <w:rPr>
          <w:sz w:val="20"/>
          <w:szCs w:val="20"/>
        </w:rPr>
        <w:t xml:space="preserve">pdate &amp; Fact Sheets on OIR website: </w:t>
      </w:r>
      <w:hyperlink r:id="rId28" w:history="1">
        <w:r w:rsidRPr="00C3372C">
          <w:rPr>
            <w:rStyle w:val="Hyperlink"/>
            <w:sz w:val="20"/>
            <w:szCs w:val="20"/>
          </w:rPr>
          <w:t>http://www.units.miamioh.edu/oir/Fact_Sheets/index.htm</w:t>
        </w:r>
      </w:hyperlink>
    </w:p>
    <w:p w:rsidR="00934A10" w:rsidRPr="00C3372C" w:rsidRDefault="00934A10" w:rsidP="00072109">
      <w:pPr>
        <w:pStyle w:val="NoSpacing"/>
        <w:numPr>
          <w:ilvl w:val="0"/>
          <w:numId w:val="7"/>
        </w:numPr>
        <w:ind w:left="252" w:hanging="252"/>
        <w:rPr>
          <w:sz w:val="20"/>
          <w:szCs w:val="20"/>
        </w:rPr>
      </w:pPr>
      <w:r w:rsidRPr="00C3372C">
        <w:rPr>
          <w:sz w:val="20"/>
          <w:szCs w:val="20"/>
        </w:rPr>
        <w:t xml:space="preserve">GREAL grading guidelines at: </w:t>
      </w:r>
      <w:hyperlink r:id="rId29" w:history="1">
        <w:r w:rsidRPr="00C3372C">
          <w:rPr>
            <w:rStyle w:val="Hyperlink"/>
            <w:sz w:val="20"/>
            <w:szCs w:val="20"/>
          </w:rPr>
          <w:t>http://miamioh.edu/cas/academics/departments/gramelac/about/grading-policy/index.html</w:t>
        </w:r>
      </w:hyperlink>
      <w:r w:rsidRPr="00C3372C">
        <w:rPr>
          <w:sz w:val="20"/>
          <w:szCs w:val="20"/>
        </w:rPr>
        <w:t xml:space="preserve"> </w:t>
      </w:r>
    </w:p>
    <w:p w:rsidR="00934A10" w:rsidRPr="00C3372C" w:rsidRDefault="00934A10" w:rsidP="00072109">
      <w:pPr>
        <w:pStyle w:val="NoSpacing"/>
        <w:numPr>
          <w:ilvl w:val="0"/>
          <w:numId w:val="7"/>
        </w:numPr>
        <w:ind w:left="252" w:hanging="252"/>
        <w:rPr>
          <w:sz w:val="20"/>
          <w:szCs w:val="20"/>
        </w:rPr>
      </w:pPr>
      <w:r w:rsidRPr="00C3372C">
        <w:rPr>
          <w:sz w:val="20"/>
          <w:szCs w:val="20"/>
        </w:rPr>
        <w:t xml:space="preserve">History Department grading guidelines at: </w:t>
      </w:r>
      <w:hyperlink r:id="rId30" w:history="1">
        <w:r w:rsidRPr="00C3372C">
          <w:rPr>
            <w:rStyle w:val="Hyperlink"/>
            <w:sz w:val="20"/>
            <w:szCs w:val="20"/>
          </w:rPr>
          <w:t>http://miamioh.edu/cas/academics/departments/history/academics/majors/requirements/grading-criteria/index.html</w:t>
        </w:r>
      </w:hyperlink>
      <w:r w:rsidRPr="00C3372C">
        <w:rPr>
          <w:sz w:val="20"/>
          <w:szCs w:val="20"/>
        </w:rPr>
        <w:t xml:space="preserve">].  </w:t>
      </w:r>
    </w:p>
    <w:p w:rsidR="00EA7FE3" w:rsidRPr="00C3372C" w:rsidRDefault="00EA7FE3" w:rsidP="00072109">
      <w:pPr>
        <w:pStyle w:val="NoSpacing"/>
        <w:numPr>
          <w:ilvl w:val="0"/>
          <w:numId w:val="7"/>
        </w:numPr>
        <w:ind w:left="252" w:hanging="252"/>
        <w:rPr>
          <w:sz w:val="20"/>
          <w:szCs w:val="20"/>
        </w:rPr>
      </w:pPr>
      <w:r w:rsidRPr="00C3372C">
        <w:rPr>
          <w:sz w:val="20"/>
          <w:szCs w:val="20"/>
        </w:rPr>
        <w:t xml:space="preserve">CELTUA resources on testing and grading at: </w:t>
      </w:r>
      <w:hyperlink r:id="rId31" w:anchor="TestingandGrading" w:history="1">
        <w:r w:rsidR="00C17E7C" w:rsidRPr="00C3372C">
          <w:rPr>
            <w:rStyle w:val="Hyperlink"/>
            <w:sz w:val="20"/>
            <w:szCs w:val="20"/>
          </w:rPr>
          <w:t>http://www.units.miamioh.edu/celt/resources/strategies.php#TestingandGrading</w:t>
        </w:r>
      </w:hyperlink>
    </w:p>
    <w:p w:rsidR="00C17E7C" w:rsidRPr="00C3372C" w:rsidRDefault="00C17E7C" w:rsidP="00072109">
      <w:pPr>
        <w:pStyle w:val="NoSpacing"/>
        <w:numPr>
          <w:ilvl w:val="0"/>
          <w:numId w:val="7"/>
        </w:numPr>
        <w:ind w:left="252" w:hanging="252"/>
        <w:rPr>
          <w:sz w:val="20"/>
          <w:szCs w:val="20"/>
        </w:rPr>
      </w:pPr>
      <w:r w:rsidRPr="00C3372C">
        <w:rPr>
          <w:sz w:val="20"/>
          <w:szCs w:val="20"/>
        </w:rPr>
        <w:t>MUPIM, section 7 as well as 5.7, 6.1, 6.7, 6.8, 13.2</w:t>
      </w:r>
    </w:p>
    <w:p w:rsidR="009D48C4" w:rsidRPr="00C3372C" w:rsidRDefault="009D48C4" w:rsidP="00072109">
      <w:pPr>
        <w:pStyle w:val="NoSpacing"/>
        <w:numPr>
          <w:ilvl w:val="0"/>
          <w:numId w:val="7"/>
        </w:numPr>
        <w:ind w:left="252" w:hanging="252"/>
        <w:rPr>
          <w:sz w:val="20"/>
          <w:szCs w:val="20"/>
        </w:rPr>
      </w:pPr>
      <w:r w:rsidRPr="00C3372C">
        <w:rPr>
          <w:sz w:val="20"/>
          <w:szCs w:val="20"/>
        </w:rPr>
        <w:t>List of all instructors and academic cred</w:t>
      </w:r>
      <w:r w:rsidR="00671FBC">
        <w:rPr>
          <w:sz w:val="20"/>
          <w:szCs w:val="20"/>
        </w:rPr>
        <w:t>entials on Provost website</w:t>
      </w:r>
    </w:p>
    <w:p w:rsidR="009D48C4" w:rsidRPr="00C3372C" w:rsidRDefault="009D48C4" w:rsidP="00072109">
      <w:pPr>
        <w:pStyle w:val="NoSpacing"/>
        <w:numPr>
          <w:ilvl w:val="0"/>
          <w:numId w:val="7"/>
        </w:numPr>
        <w:ind w:left="252" w:hanging="252"/>
        <w:rPr>
          <w:sz w:val="20"/>
          <w:szCs w:val="20"/>
        </w:rPr>
      </w:pPr>
      <w:r w:rsidRPr="00C3372C">
        <w:rPr>
          <w:sz w:val="20"/>
          <w:szCs w:val="20"/>
        </w:rPr>
        <w:t>Handbook for Graduate Students and Faculty</w:t>
      </w:r>
      <w:r w:rsidR="003464A0">
        <w:rPr>
          <w:sz w:val="20"/>
          <w:szCs w:val="20"/>
        </w:rPr>
        <w:t>, section 5.1</w:t>
      </w:r>
    </w:p>
    <w:p w:rsidR="00343D00" w:rsidRPr="00C3372C" w:rsidRDefault="00343D00" w:rsidP="00072109">
      <w:pPr>
        <w:pStyle w:val="NoSpacing"/>
        <w:numPr>
          <w:ilvl w:val="0"/>
          <w:numId w:val="7"/>
        </w:numPr>
        <w:ind w:left="252" w:hanging="252"/>
        <w:rPr>
          <w:sz w:val="20"/>
          <w:szCs w:val="20"/>
        </w:rPr>
      </w:pPr>
      <w:r w:rsidRPr="00C3372C">
        <w:rPr>
          <w:sz w:val="20"/>
          <w:szCs w:val="20"/>
        </w:rPr>
        <w:t>Enabling Act of University Senate</w:t>
      </w:r>
    </w:p>
    <w:p w:rsidR="001F10EB" w:rsidRPr="00C3372C" w:rsidRDefault="001F10EB" w:rsidP="00072109">
      <w:pPr>
        <w:pStyle w:val="NoSpacing"/>
        <w:numPr>
          <w:ilvl w:val="0"/>
          <w:numId w:val="7"/>
        </w:numPr>
        <w:ind w:left="252" w:hanging="252"/>
        <w:rPr>
          <w:sz w:val="20"/>
          <w:szCs w:val="20"/>
        </w:rPr>
      </w:pPr>
      <w:r w:rsidRPr="00C3372C">
        <w:rPr>
          <w:sz w:val="20"/>
          <w:szCs w:val="20"/>
        </w:rPr>
        <w:t>University Librarians professional and personal competencies: http://www.lib.muohio.edu/node/16/</w:t>
      </w:r>
    </w:p>
    <w:p w:rsidR="000C1CF9" w:rsidRPr="00C3372C" w:rsidRDefault="000C1CF9" w:rsidP="00072109">
      <w:pPr>
        <w:pStyle w:val="NoSpacing"/>
        <w:numPr>
          <w:ilvl w:val="0"/>
          <w:numId w:val="7"/>
        </w:numPr>
        <w:ind w:left="252" w:hanging="252"/>
        <w:rPr>
          <w:sz w:val="20"/>
          <w:szCs w:val="20"/>
        </w:rPr>
      </w:pPr>
      <w:r w:rsidRPr="00C3372C">
        <w:rPr>
          <w:sz w:val="20"/>
          <w:szCs w:val="20"/>
        </w:rPr>
        <w:t>Description of LEC on Senate website</w:t>
      </w:r>
    </w:p>
    <w:p w:rsidR="00BA077A" w:rsidRPr="00C3372C" w:rsidRDefault="00BA077A" w:rsidP="00072109">
      <w:pPr>
        <w:pStyle w:val="NoSpacing"/>
        <w:numPr>
          <w:ilvl w:val="0"/>
          <w:numId w:val="7"/>
        </w:numPr>
        <w:ind w:left="252" w:hanging="252"/>
        <w:rPr>
          <w:sz w:val="20"/>
          <w:szCs w:val="20"/>
        </w:rPr>
      </w:pPr>
      <w:r w:rsidRPr="00C3372C">
        <w:rPr>
          <w:sz w:val="20"/>
          <w:szCs w:val="20"/>
        </w:rPr>
        <w:t>Report by LCPL ad hoc committee</w:t>
      </w:r>
    </w:p>
    <w:p w:rsidR="009D48C4" w:rsidRPr="00C3372C" w:rsidRDefault="000C1CF9" w:rsidP="00072109">
      <w:pPr>
        <w:pStyle w:val="NoSpacing"/>
        <w:numPr>
          <w:ilvl w:val="0"/>
          <w:numId w:val="7"/>
        </w:numPr>
        <w:ind w:left="252" w:hanging="252"/>
        <w:rPr>
          <w:sz w:val="20"/>
          <w:szCs w:val="20"/>
        </w:rPr>
      </w:pPr>
      <w:r w:rsidRPr="00C3372C">
        <w:rPr>
          <w:sz w:val="20"/>
          <w:szCs w:val="20"/>
        </w:rPr>
        <w:t>Dual enrollment guidelines</w:t>
      </w:r>
    </w:p>
    <w:p w:rsidR="000C1CF9" w:rsidRPr="00C3372C" w:rsidRDefault="000C1CF9" w:rsidP="00072109">
      <w:pPr>
        <w:pStyle w:val="NoSpacing"/>
        <w:numPr>
          <w:ilvl w:val="0"/>
          <w:numId w:val="7"/>
        </w:numPr>
        <w:ind w:left="252" w:hanging="252"/>
        <w:rPr>
          <w:sz w:val="20"/>
          <w:szCs w:val="20"/>
        </w:rPr>
      </w:pPr>
      <w:r w:rsidRPr="00C3372C">
        <w:rPr>
          <w:sz w:val="20"/>
          <w:szCs w:val="20"/>
        </w:rPr>
        <w:t>New faculty orientation materials</w:t>
      </w:r>
    </w:p>
    <w:p w:rsidR="000C1CF9" w:rsidRPr="00C3372C" w:rsidRDefault="000C1CF9" w:rsidP="00072109">
      <w:pPr>
        <w:pStyle w:val="NoSpacing"/>
        <w:numPr>
          <w:ilvl w:val="0"/>
          <w:numId w:val="7"/>
        </w:numPr>
        <w:ind w:left="252" w:hanging="252"/>
        <w:rPr>
          <w:sz w:val="20"/>
          <w:szCs w:val="20"/>
        </w:rPr>
      </w:pPr>
      <w:r w:rsidRPr="00C3372C">
        <w:rPr>
          <w:sz w:val="20"/>
          <w:szCs w:val="20"/>
        </w:rPr>
        <w:t>UAAC annual reports for 2012-2013 and 2013-2014</w:t>
      </w:r>
    </w:p>
    <w:p w:rsidR="009D48C4" w:rsidRPr="00C3372C" w:rsidRDefault="009D48C4" w:rsidP="00072109">
      <w:pPr>
        <w:pStyle w:val="NoSpacing"/>
        <w:numPr>
          <w:ilvl w:val="0"/>
          <w:numId w:val="7"/>
        </w:numPr>
        <w:ind w:left="252" w:hanging="252"/>
        <w:rPr>
          <w:sz w:val="20"/>
          <w:szCs w:val="20"/>
        </w:rPr>
      </w:pPr>
      <w:r w:rsidRPr="00C3372C">
        <w:rPr>
          <w:sz w:val="20"/>
          <w:szCs w:val="20"/>
        </w:rPr>
        <w:t>Summary of faculty development &amp; support opportunities (e.g., CELTUA, Howe, OARS, new faculty orientation)</w:t>
      </w:r>
    </w:p>
    <w:p w:rsidR="009D48C4" w:rsidRPr="00C3372C" w:rsidRDefault="009D48C4" w:rsidP="00072109">
      <w:pPr>
        <w:pStyle w:val="NoSpacing"/>
        <w:numPr>
          <w:ilvl w:val="0"/>
          <w:numId w:val="7"/>
        </w:numPr>
        <w:ind w:left="252" w:hanging="252"/>
        <w:rPr>
          <w:sz w:val="20"/>
          <w:szCs w:val="20"/>
        </w:rPr>
      </w:pPr>
      <w:r w:rsidRPr="00C3372C">
        <w:rPr>
          <w:sz w:val="20"/>
          <w:szCs w:val="20"/>
        </w:rPr>
        <w:t>Summary of Studen</w:t>
      </w:r>
      <w:r w:rsidR="003464A0">
        <w:rPr>
          <w:sz w:val="20"/>
          <w:szCs w:val="20"/>
        </w:rPr>
        <w:t>t Affairs staff development/</w:t>
      </w:r>
      <w:r w:rsidRPr="00C3372C">
        <w:rPr>
          <w:sz w:val="20"/>
          <w:szCs w:val="20"/>
        </w:rPr>
        <w:t>training</w:t>
      </w:r>
      <w:r w:rsidR="00EF664B" w:rsidRPr="00C3372C">
        <w:rPr>
          <w:sz w:val="20"/>
          <w:szCs w:val="20"/>
        </w:rPr>
        <w:t xml:space="preserve"> (Student Affairs Professional Development Committee Reports)</w:t>
      </w:r>
    </w:p>
    <w:p w:rsidR="00AF100A" w:rsidRDefault="00AF100A" w:rsidP="009D48C4">
      <w:pPr>
        <w:pStyle w:val="NoSpacing"/>
        <w:rPr>
          <w:sz w:val="20"/>
          <w:szCs w:val="20"/>
        </w:rPr>
      </w:pPr>
    </w:p>
    <w:p w:rsidR="00317A69" w:rsidRDefault="00317A69">
      <w:pPr>
        <w:rPr>
          <w:b/>
          <w:i/>
        </w:rPr>
      </w:pPr>
      <w:r>
        <w:rPr>
          <w:b/>
          <w:i/>
        </w:rPr>
        <w:br w:type="page"/>
      </w:r>
    </w:p>
    <w:p w:rsidR="00317A69" w:rsidRPr="00C345E6" w:rsidRDefault="004E5333" w:rsidP="004E5333">
      <w:pPr>
        <w:pStyle w:val="Heading4"/>
      </w:pPr>
      <w:r>
        <w:lastRenderedPageBreak/>
        <w:t xml:space="preserve">3.D. </w:t>
      </w:r>
      <w:r>
        <w:tab/>
      </w:r>
      <w:r w:rsidR="00317A69" w:rsidRPr="00C345E6">
        <w:t xml:space="preserve">The institution provides support for student learning and effective teaching.  </w:t>
      </w:r>
    </w:p>
    <w:p w:rsidR="00317A69" w:rsidRPr="004E5333" w:rsidRDefault="004E5333" w:rsidP="004E5333">
      <w:pPr>
        <w:pStyle w:val="Heading5"/>
        <w:rPr>
          <w:sz w:val="22"/>
          <w:szCs w:val="22"/>
        </w:rPr>
      </w:pPr>
      <w:r>
        <w:rPr>
          <w:sz w:val="22"/>
          <w:szCs w:val="22"/>
        </w:rPr>
        <w:t>3.D.1.</w:t>
      </w:r>
      <w:r>
        <w:rPr>
          <w:sz w:val="22"/>
          <w:szCs w:val="22"/>
        </w:rPr>
        <w:tab/>
      </w:r>
      <w:r w:rsidR="00317A69" w:rsidRPr="004E5333">
        <w:rPr>
          <w:sz w:val="22"/>
          <w:szCs w:val="22"/>
        </w:rPr>
        <w:t>The institution provides student support services suited to the needs of its student populations.</w:t>
      </w:r>
    </w:p>
    <w:p w:rsidR="00317A69" w:rsidRPr="004E5333" w:rsidRDefault="004E5333" w:rsidP="004E5333">
      <w:pPr>
        <w:pStyle w:val="Heading5"/>
        <w:ind w:left="720" w:hanging="720"/>
        <w:rPr>
          <w:sz w:val="22"/>
          <w:szCs w:val="22"/>
        </w:rPr>
      </w:pPr>
      <w:r>
        <w:rPr>
          <w:sz w:val="22"/>
          <w:szCs w:val="22"/>
        </w:rPr>
        <w:t>3.D.2.</w:t>
      </w:r>
      <w:r>
        <w:rPr>
          <w:sz w:val="22"/>
          <w:szCs w:val="22"/>
        </w:rPr>
        <w:tab/>
      </w:r>
      <w:r w:rsidR="00317A69" w:rsidRPr="004E5333">
        <w:rPr>
          <w:sz w:val="22"/>
          <w:szCs w:val="22"/>
        </w:rPr>
        <w:t>The institution provides for learning support and preparatory instruction to address the academic needs of its students.  It has a process for directing entering students to courses and programs for which the students are adequately prepared.</w:t>
      </w:r>
    </w:p>
    <w:p w:rsidR="00317A69" w:rsidRPr="004E5333" w:rsidRDefault="004E5333" w:rsidP="004E5333">
      <w:pPr>
        <w:pStyle w:val="Heading5"/>
        <w:rPr>
          <w:sz w:val="22"/>
          <w:szCs w:val="22"/>
        </w:rPr>
      </w:pPr>
      <w:r>
        <w:rPr>
          <w:sz w:val="22"/>
          <w:szCs w:val="22"/>
        </w:rPr>
        <w:t>3.D.3.</w:t>
      </w:r>
      <w:r>
        <w:rPr>
          <w:sz w:val="22"/>
          <w:szCs w:val="22"/>
        </w:rPr>
        <w:tab/>
      </w:r>
      <w:r w:rsidR="00317A69" w:rsidRPr="004E5333">
        <w:rPr>
          <w:sz w:val="22"/>
          <w:szCs w:val="22"/>
        </w:rPr>
        <w:t>The institution provides academic advising suited to its programs and the needs of its students.</w:t>
      </w:r>
    </w:p>
    <w:p w:rsidR="009D48C4" w:rsidRDefault="004E5333" w:rsidP="004E5333">
      <w:pPr>
        <w:pStyle w:val="Heading5"/>
        <w:ind w:left="720" w:hanging="720"/>
        <w:rPr>
          <w:sz w:val="22"/>
          <w:szCs w:val="22"/>
        </w:rPr>
      </w:pPr>
      <w:r>
        <w:rPr>
          <w:sz w:val="22"/>
          <w:szCs w:val="22"/>
        </w:rPr>
        <w:t>3.D.4.</w:t>
      </w:r>
      <w:r>
        <w:rPr>
          <w:sz w:val="22"/>
          <w:szCs w:val="22"/>
        </w:rPr>
        <w:tab/>
      </w:r>
      <w:r w:rsidR="00317A69" w:rsidRPr="004E5333">
        <w:rPr>
          <w:sz w:val="22"/>
          <w:szCs w:val="22"/>
        </w:rPr>
        <w:t>The institution provides to students and instructors the infrastructure and resources necessary to support effective teaching and learning (technological infrastructure, scientific laboratories, libraries, performance spaces, clinical practice sites, museum collections, as appropriate to the institution’s offerings).</w:t>
      </w:r>
    </w:p>
    <w:p w:rsidR="004E5333" w:rsidRDefault="004E5333" w:rsidP="0062441B">
      <w:pPr>
        <w:pStyle w:val="Heading2"/>
      </w:pPr>
      <w:r>
        <w:t>Narrative</w:t>
      </w:r>
    </w:p>
    <w:p w:rsidR="00125342" w:rsidRDefault="00C91B71" w:rsidP="008C5E6A">
      <w:r>
        <w:t>The mission of the u</w:t>
      </w:r>
      <w:r w:rsidR="00135286" w:rsidRPr="00363000">
        <w:t>niversity asserts: “Miami provides the opportunities of a major university while offering the personalized attention found in the best small c</w:t>
      </w:r>
      <w:r w:rsidR="008C5E6A">
        <w:t xml:space="preserve">olleges.”  From the moment students enroll, support services are available to ensure their success.  </w:t>
      </w:r>
    </w:p>
    <w:p w:rsidR="008C5E6A" w:rsidRDefault="008C5E6A" w:rsidP="008C5E6A">
      <w:r>
        <w:t xml:space="preserve">Miami offers a two-day </w:t>
      </w:r>
      <w:hyperlink r:id="rId32" w:history="1">
        <w:r w:rsidR="00F9015D">
          <w:rPr>
            <w:rStyle w:val="NoSpacingChar"/>
            <w:b/>
          </w:rPr>
          <w:t>summer o</w:t>
        </w:r>
        <w:r w:rsidRPr="001A3581">
          <w:rPr>
            <w:rStyle w:val="NoSpacingChar"/>
            <w:b/>
          </w:rPr>
          <w:t>rientation</w:t>
        </w:r>
      </w:hyperlink>
      <w:r>
        <w:t xml:space="preserve"> to all incoming students on the Oxford campus with the goal of promoting </w:t>
      </w:r>
      <w:r w:rsidR="002E1F45">
        <w:t xml:space="preserve">the </w:t>
      </w:r>
      <w:r w:rsidR="00394B3F">
        <w:t>4</w:t>
      </w:r>
      <w:r w:rsidR="00125342">
        <w:t xml:space="preserve"> C’s: </w:t>
      </w:r>
      <w:r>
        <w:t>confidence, connection, curiosity and comfort. Orientation features group sessions on a variety of college success topics (e.g., health and wellness, personal development, involvement and activities) as well as individualized advising by faculty</w:t>
      </w:r>
      <w:r w:rsidR="00394B3F">
        <w:t xml:space="preserve"> and professional staff</w:t>
      </w:r>
      <w:r>
        <w:t xml:space="preserve"> to assist with decisions about degree, academic opportunities, and courses.  Additionally, orientation </w:t>
      </w:r>
      <w:r w:rsidR="00394B3F">
        <w:t xml:space="preserve">contains components that are aimed at educating students’ parents on key transitional issues, and later in the summer, students are required to complete an online educational module about high-risk alcohol use and </w:t>
      </w:r>
      <w:r>
        <w:t xml:space="preserve">Title IX issues. On the regional campuses, all incoming students participate in </w:t>
      </w:r>
      <w:r w:rsidR="00F9015D">
        <w:t>the SOAR (student orientation, advising, and r</w:t>
      </w:r>
      <w:r>
        <w:t>egistration) program which facilitates a seamless transition to the regional campuses’ academic support systems.</w:t>
      </w:r>
    </w:p>
    <w:p w:rsidR="008C5E6A" w:rsidRDefault="008C5E6A" w:rsidP="008C5E6A">
      <w:r w:rsidRPr="00FA765A">
        <w:rPr>
          <w:b/>
        </w:rPr>
        <w:t xml:space="preserve">Placement </w:t>
      </w:r>
      <w:r w:rsidRPr="00FA765A">
        <w:t>in appropriate courses</w:t>
      </w:r>
      <w:r>
        <w:rPr>
          <w:b/>
        </w:rPr>
        <w:t xml:space="preserve"> </w:t>
      </w:r>
      <w:r w:rsidRPr="00FA765A">
        <w:t>is assured through online examinations</w:t>
      </w:r>
      <w:r>
        <w:t xml:space="preserve"> in math and fo</w:t>
      </w:r>
      <w:r w:rsidR="00C11F7B">
        <w:t>reign language which are offer</w:t>
      </w:r>
      <w:r>
        <w:t>ed each semester.  Students typically complete the examinations prior to summer orientation so that they can plan their schedule appropriately with their advisor.  Students on the regional campuses also complete COMPASS entrance placement tests, and an academic advisor is assigned to students who score low on their COMPASS test, so that they have additional support and can make careful course selections. Miami also works with the Ohio Board of Regents to award appropriate course credit and placement for students who earn particu</w:t>
      </w:r>
      <w:r w:rsidR="00F9015D">
        <w:t>lar scores on AP</w:t>
      </w:r>
      <w:r>
        <w:t xml:space="preserve"> or CLEP examinations.</w:t>
      </w:r>
    </w:p>
    <w:p w:rsidR="00135286" w:rsidRPr="00363000" w:rsidRDefault="008C5E6A" w:rsidP="00AC144A">
      <w:r>
        <w:t xml:space="preserve">Once the semester begins, students can take part in a wealth of </w:t>
      </w:r>
      <w:r w:rsidR="00135286" w:rsidRPr="00363000">
        <w:t>high quality sup</w:t>
      </w:r>
      <w:r>
        <w:t>port services suited to their</w:t>
      </w:r>
      <w:r w:rsidR="007E4066">
        <w:t xml:space="preserve"> needs, including</w:t>
      </w:r>
      <w:r w:rsidR="00135286" w:rsidRPr="00363000">
        <w:t>:</w:t>
      </w:r>
    </w:p>
    <w:p w:rsidR="004175B0" w:rsidRPr="004175B0" w:rsidRDefault="00F8322E" w:rsidP="000945E2">
      <w:pPr>
        <w:pStyle w:val="ListParagraph"/>
        <w:numPr>
          <w:ilvl w:val="0"/>
          <w:numId w:val="46"/>
        </w:numPr>
      </w:pPr>
      <w:r>
        <w:rPr>
          <w:b/>
        </w:rPr>
        <w:t xml:space="preserve">Office of the Dean of Students </w:t>
      </w:r>
      <w:r w:rsidRPr="004175B0">
        <w:t>works to provide comprehensive resources possible for students’ intellectual growth and personal development providing</w:t>
      </w:r>
      <w:r w:rsidR="004175B0" w:rsidRPr="004175B0">
        <w:t xml:space="preserve"> support for students’ safety, academics and personal well-being, including assisting students through crises or difficult circumstances.</w:t>
      </w:r>
    </w:p>
    <w:p w:rsidR="00FD60B5" w:rsidRDefault="00095260" w:rsidP="000945E2">
      <w:pPr>
        <w:pStyle w:val="ListParagraph"/>
        <w:numPr>
          <w:ilvl w:val="0"/>
          <w:numId w:val="46"/>
        </w:numPr>
      </w:pPr>
      <w:r>
        <w:rPr>
          <w:b/>
        </w:rPr>
        <w:t>One-Stop for Student Success Services</w:t>
      </w:r>
      <w:r w:rsidR="00FD60B5">
        <w:t>, launched in October</w:t>
      </w:r>
      <w:r w:rsidR="00814473">
        <w:t xml:space="preserve"> 2014, integrates</w:t>
      </w:r>
      <w:r w:rsidR="00EA4BDC" w:rsidRPr="00BE2F83">
        <w:t> the</w:t>
      </w:r>
      <w:r w:rsidR="000B521A">
        <w:t xml:space="preserve"> front-facing functions of the bursar, registrar, and student financial a</w:t>
      </w:r>
      <w:r w:rsidR="00EA4BDC" w:rsidRPr="00BE2F83">
        <w:t xml:space="preserve">ssistance to virtualize </w:t>
      </w:r>
      <w:r w:rsidR="00FD60B5">
        <w:t xml:space="preserve">and provide </w:t>
      </w:r>
      <w:r w:rsidR="00EA4BDC" w:rsidRPr="00BE2F83">
        <w:t>services for all students, faculty, and staff</w:t>
      </w:r>
      <w:r w:rsidR="00FD60B5">
        <w:t xml:space="preserve"> o</w:t>
      </w:r>
      <w:r w:rsidR="00F20D2C">
        <w:t>n a 24/7 basis</w:t>
      </w:r>
      <w:r w:rsidR="007E4066">
        <w:t>.</w:t>
      </w:r>
    </w:p>
    <w:p w:rsidR="00E04379" w:rsidRPr="00E04379" w:rsidRDefault="00EE2348" w:rsidP="000945E2">
      <w:pPr>
        <w:pStyle w:val="ListParagraph"/>
        <w:numPr>
          <w:ilvl w:val="0"/>
          <w:numId w:val="46"/>
        </w:numPr>
      </w:pPr>
      <w:r w:rsidRPr="005B1ED8">
        <w:rPr>
          <w:b/>
        </w:rPr>
        <w:t>Armstrong Student Center</w:t>
      </w:r>
      <w:r>
        <w:t>, c</w:t>
      </w:r>
      <w:r w:rsidR="00E04379">
        <w:t xml:space="preserve">reated in 2014 after years of student advocacy, </w:t>
      </w:r>
      <w:r w:rsidR="00E04379" w:rsidRPr="005B1ED8">
        <w:rPr>
          <w:shd w:val="clear" w:color="auto" w:fill="FFFFFF"/>
        </w:rPr>
        <w:t>serves as “the true living room on campus” and features meeting rooms, quiet study rooms, unique dining concepts, lounge space, student organization offices, and sign</w:t>
      </w:r>
      <w:r w:rsidR="00F20D2C">
        <w:rPr>
          <w:shd w:val="clear" w:color="auto" w:fill="FFFFFF"/>
        </w:rPr>
        <w:t>ature spaces for student events</w:t>
      </w:r>
      <w:r w:rsidR="007E4066">
        <w:rPr>
          <w:shd w:val="clear" w:color="auto" w:fill="FFFFFF"/>
        </w:rPr>
        <w:t>.</w:t>
      </w:r>
    </w:p>
    <w:p w:rsidR="001B6398" w:rsidRDefault="006B3FF3" w:rsidP="000945E2">
      <w:pPr>
        <w:pStyle w:val="ListParagraph"/>
        <w:numPr>
          <w:ilvl w:val="0"/>
          <w:numId w:val="46"/>
        </w:numPr>
      </w:pPr>
      <w:hyperlink r:id="rId33" w:history="1">
        <w:r w:rsidR="001B6398" w:rsidRPr="00993945">
          <w:rPr>
            <w:b/>
          </w:rPr>
          <w:t>Rinella Learning Center</w:t>
        </w:r>
      </w:hyperlink>
      <w:r w:rsidR="001B6398" w:rsidRPr="00993945">
        <w:rPr>
          <w:b/>
        </w:rPr>
        <w:t xml:space="preserve"> </w:t>
      </w:r>
      <w:r w:rsidR="001B6398">
        <w:t>offers tutoring, supplemental instruction, a</w:t>
      </w:r>
      <w:r w:rsidR="00B566A9">
        <w:t>cademic coaching, and meetings with learning specialists</w:t>
      </w:r>
      <w:r w:rsidR="001B6398">
        <w:t xml:space="preserve"> at</w:t>
      </w:r>
      <w:r w:rsidR="00B566A9">
        <w:t xml:space="preserve"> no charge to students.  Individualized</w:t>
      </w:r>
      <w:r w:rsidR="001B6398">
        <w:t xml:space="preserve"> support is also offered to students with learning disabil</w:t>
      </w:r>
      <w:r w:rsidR="00D5693D">
        <w:t>ities and other populations who</w:t>
      </w:r>
      <w:r w:rsidR="001B6398">
        <w:t xml:space="preserve"> a</w:t>
      </w:r>
      <w:r w:rsidR="00F20D2C">
        <w:t>re at higher risk for attrition</w:t>
      </w:r>
      <w:r w:rsidR="007E4066">
        <w:t>.</w:t>
      </w:r>
    </w:p>
    <w:p w:rsidR="00904D8B" w:rsidRPr="00E04379" w:rsidRDefault="00904D8B" w:rsidP="000945E2">
      <w:pPr>
        <w:pStyle w:val="ListParagraph"/>
        <w:numPr>
          <w:ilvl w:val="0"/>
          <w:numId w:val="46"/>
        </w:numPr>
      </w:pPr>
      <w:r w:rsidRPr="005B1ED8">
        <w:rPr>
          <w:b/>
          <w:shd w:val="clear" w:color="auto" w:fill="FFFFFF"/>
        </w:rPr>
        <w:lastRenderedPageBreak/>
        <w:t>Global Initiatives</w:t>
      </w:r>
      <w:r w:rsidR="005D3D90" w:rsidRPr="005B1ED8">
        <w:rPr>
          <w:shd w:val="clear" w:color="auto" w:fill="FFFFFF"/>
        </w:rPr>
        <w:t xml:space="preserve"> provides </w:t>
      </w:r>
      <w:r w:rsidR="00761139">
        <w:rPr>
          <w:shd w:val="clear" w:color="auto" w:fill="FFFFFF"/>
        </w:rPr>
        <w:t xml:space="preserve">advising and programming </w:t>
      </w:r>
      <w:r w:rsidR="005D3D90" w:rsidRPr="005B1ED8">
        <w:rPr>
          <w:shd w:val="clear" w:color="auto" w:fill="FFFFFF"/>
        </w:rPr>
        <w:t>support for international studen</w:t>
      </w:r>
      <w:r w:rsidR="000B521A">
        <w:rPr>
          <w:shd w:val="clear" w:color="auto" w:fill="FFFFFF"/>
        </w:rPr>
        <w:t>ts and faculty through</w:t>
      </w:r>
      <w:r w:rsidR="00814473">
        <w:rPr>
          <w:shd w:val="clear" w:color="auto" w:fill="FFFFFF"/>
        </w:rPr>
        <w:t xml:space="preserve"> visa</w:t>
      </w:r>
      <w:r w:rsidR="005D3D90" w:rsidRPr="005B1ED8">
        <w:rPr>
          <w:shd w:val="clear" w:color="auto" w:fill="FFFFFF"/>
        </w:rPr>
        <w:t xml:space="preserve"> and immigration </w:t>
      </w:r>
      <w:r w:rsidR="000B521A">
        <w:rPr>
          <w:shd w:val="clear" w:color="auto" w:fill="FFFFFF"/>
        </w:rPr>
        <w:t xml:space="preserve">information, </w:t>
      </w:r>
      <w:r w:rsidR="00761139">
        <w:rPr>
          <w:shd w:val="clear" w:color="auto" w:fill="FFFFFF"/>
        </w:rPr>
        <w:t>incoming student orientation and other social and academic programs</w:t>
      </w:r>
      <w:r w:rsidR="005B1ED8" w:rsidRPr="005B1ED8">
        <w:rPr>
          <w:shd w:val="clear" w:color="auto" w:fill="FFFFFF"/>
        </w:rPr>
        <w:t>, a newsletter, peer mentoring, and other resources.</w:t>
      </w:r>
    </w:p>
    <w:p w:rsidR="005B1ED8" w:rsidRPr="00F8322E" w:rsidRDefault="00B566A9" w:rsidP="000945E2">
      <w:pPr>
        <w:pStyle w:val="ListParagraph"/>
        <w:numPr>
          <w:ilvl w:val="0"/>
          <w:numId w:val="46"/>
        </w:numPr>
      </w:pPr>
      <w:r>
        <w:rPr>
          <w:b/>
          <w:shd w:val="clear" w:color="auto" w:fill="FFFFFF"/>
        </w:rPr>
        <w:t>Student Disability Service</w:t>
      </w:r>
      <w:r w:rsidR="00904D8B" w:rsidRPr="005B1ED8">
        <w:rPr>
          <w:b/>
          <w:shd w:val="clear" w:color="auto" w:fill="FFFFFF"/>
        </w:rPr>
        <w:t>s</w:t>
      </w:r>
      <w:r w:rsidR="005B1ED8">
        <w:rPr>
          <w:shd w:val="clear" w:color="auto" w:fill="FFFFFF"/>
        </w:rPr>
        <w:t xml:space="preserve"> provides reasonable accommodations and resources to en</w:t>
      </w:r>
      <w:r w:rsidR="00356704">
        <w:rPr>
          <w:shd w:val="clear" w:color="auto" w:fill="FFFFFF"/>
        </w:rPr>
        <w:t xml:space="preserve">sure that students </w:t>
      </w:r>
      <w:r w:rsidR="005B1ED8">
        <w:rPr>
          <w:shd w:val="clear" w:color="auto" w:fill="FFFFFF"/>
        </w:rPr>
        <w:t xml:space="preserve"> with dis</w:t>
      </w:r>
      <w:r w:rsidR="000B521A">
        <w:rPr>
          <w:shd w:val="clear" w:color="auto" w:fill="FFFFFF"/>
        </w:rPr>
        <w:t>abilities have equal access to u</w:t>
      </w:r>
      <w:r w:rsidR="005B1ED8">
        <w:rPr>
          <w:shd w:val="clear" w:color="auto" w:fill="FFFFFF"/>
        </w:rPr>
        <w:t>niversity life</w:t>
      </w:r>
      <w:r w:rsidR="0015373D">
        <w:rPr>
          <w:shd w:val="clear" w:color="auto" w:fill="FFFFFF"/>
        </w:rPr>
        <w:t>.</w:t>
      </w:r>
    </w:p>
    <w:p w:rsidR="00F8322E" w:rsidRPr="00F8322E" w:rsidRDefault="00F8322E" w:rsidP="000945E2">
      <w:pPr>
        <w:pStyle w:val="ListParagraph"/>
        <w:numPr>
          <w:ilvl w:val="0"/>
          <w:numId w:val="46"/>
        </w:numPr>
      </w:pPr>
      <w:r>
        <w:rPr>
          <w:b/>
          <w:shd w:val="clear" w:color="auto" w:fill="FFFFFF"/>
        </w:rPr>
        <w:t xml:space="preserve">Student Counseling Services </w:t>
      </w:r>
      <w:r w:rsidRPr="00F8322E">
        <w:rPr>
          <w:shd w:val="clear" w:color="auto" w:fill="FFFFFF"/>
        </w:rPr>
        <w:t>provides individual and group counseling appointments as well</w:t>
      </w:r>
      <w:r>
        <w:rPr>
          <w:shd w:val="clear" w:color="auto" w:fill="FFFFFF"/>
        </w:rPr>
        <w:t xml:space="preserve"> as workshops to assist students in</w:t>
      </w:r>
      <w:r w:rsidRPr="00F8322E">
        <w:rPr>
          <w:shd w:val="clear" w:color="auto" w:fill="FFFFFF"/>
        </w:rPr>
        <w:t xml:space="preserve"> developing and maintaining healthy personal, emotional, and psychological functioning.</w:t>
      </w:r>
    </w:p>
    <w:p w:rsidR="001B6398" w:rsidRPr="005B1ED8" w:rsidRDefault="006B3FF3" w:rsidP="000945E2">
      <w:pPr>
        <w:pStyle w:val="ListParagraph"/>
        <w:numPr>
          <w:ilvl w:val="0"/>
          <w:numId w:val="47"/>
        </w:numPr>
      </w:pPr>
      <w:hyperlink r:id="rId34" w:history="1">
        <w:r w:rsidR="001B6398" w:rsidRPr="0019329B">
          <w:rPr>
            <w:rStyle w:val="Heading6Char"/>
            <w:bCs w:val="0"/>
            <w:color w:val="auto"/>
            <w:spacing w:val="0"/>
            <w:shd w:val="clear" w:color="auto" w:fill="auto"/>
          </w:rPr>
          <w:t>University Studies Program</w:t>
        </w:r>
      </w:hyperlink>
      <w:r w:rsidR="00914553" w:rsidRPr="005B1ED8">
        <w:rPr>
          <w:rStyle w:val="Heading6Char"/>
          <w:b w:val="0"/>
          <w:bCs w:val="0"/>
          <w:color w:val="auto"/>
          <w:spacing w:val="0"/>
          <w:shd w:val="clear" w:color="auto" w:fill="auto"/>
        </w:rPr>
        <w:t xml:space="preserve">, </w:t>
      </w:r>
      <w:r w:rsidR="00914553" w:rsidRPr="005B1ED8">
        <w:t>begun in 2012,</w:t>
      </w:r>
      <w:r w:rsidR="001B6398" w:rsidRPr="005B1ED8">
        <w:rPr>
          <w:rStyle w:val="Heading6Char"/>
          <w:b w:val="0"/>
          <w:bCs w:val="0"/>
          <w:color w:val="auto"/>
          <w:spacing w:val="0"/>
          <w:shd w:val="clear" w:color="auto" w:fill="auto"/>
        </w:rPr>
        <w:t xml:space="preserve"> </w:t>
      </w:r>
      <w:r w:rsidR="00914553" w:rsidRPr="005B1ED8">
        <w:t>is an</w:t>
      </w:r>
      <w:r w:rsidR="001B6398" w:rsidRPr="005B1ED8">
        <w:t xml:space="preserve"> intensive advising program</w:t>
      </w:r>
      <w:r w:rsidR="00C67391">
        <w:t xml:space="preserve"> offered by trained faculty members</w:t>
      </w:r>
      <w:r w:rsidR="001B6398" w:rsidRPr="005B1ED8">
        <w:t xml:space="preserve"> for students who are undecided about their m</w:t>
      </w:r>
      <w:r w:rsidR="00C67391">
        <w:t xml:space="preserve">ajor.  </w:t>
      </w:r>
    </w:p>
    <w:p w:rsidR="001A3581" w:rsidRPr="005B1ED8" w:rsidRDefault="006B3FF3" w:rsidP="000945E2">
      <w:pPr>
        <w:pStyle w:val="ListParagraph"/>
        <w:numPr>
          <w:ilvl w:val="0"/>
          <w:numId w:val="47"/>
        </w:numPr>
      </w:pPr>
      <w:hyperlink r:id="rId35" w:history="1">
        <w:r w:rsidR="001A3581" w:rsidRPr="00EE2348">
          <w:rPr>
            <w:rStyle w:val="Heading6Char"/>
            <w:bCs w:val="0"/>
            <w:color w:val="auto"/>
            <w:spacing w:val="0"/>
            <w:shd w:val="clear" w:color="auto" w:fill="auto"/>
          </w:rPr>
          <w:t>Office of Career Services</w:t>
        </w:r>
      </w:hyperlink>
      <w:r w:rsidR="001A3581">
        <w:t xml:space="preserve"> </w:t>
      </w:r>
      <w:r w:rsidR="001A3581" w:rsidRPr="005B1ED8">
        <w:t>offers workshops, consultations, and career counse</w:t>
      </w:r>
      <w:r w:rsidR="00356704">
        <w:t>ling to all students and alumni</w:t>
      </w:r>
      <w:r w:rsidR="001A3581">
        <w:t>.</w:t>
      </w:r>
    </w:p>
    <w:p w:rsidR="001A3581" w:rsidRPr="005B1ED8" w:rsidRDefault="006B3FF3" w:rsidP="000945E2">
      <w:pPr>
        <w:pStyle w:val="ListParagraph"/>
        <w:numPr>
          <w:ilvl w:val="0"/>
          <w:numId w:val="47"/>
        </w:numPr>
      </w:pPr>
      <w:hyperlink r:id="rId36" w:history="1">
        <w:r w:rsidR="001A3581" w:rsidRPr="00993945">
          <w:rPr>
            <w:b/>
          </w:rPr>
          <w:t>Howe Writing Center</w:t>
        </w:r>
      </w:hyperlink>
      <w:r w:rsidR="001A3581" w:rsidRPr="005B1ED8">
        <w:rPr>
          <w:rStyle w:val="Heading6Char"/>
          <w:b w:val="0"/>
          <w:bCs w:val="0"/>
          <w:color w:val="auto"/>
          <w:spacing w:val="0"/>
          <w:shd w:val="clear" w:color="auto" w:fill="auto"/>
        </w:rPr>
        <w:t xml:space="preserve"> </w:t>
      </w:r>
      <w:r w:rsidR="001A3581">
        <w:t>provides</w:t>
      </w:r>
      <w:r w:rsidR="001A3581" w:rsidRPr="005B1ED8">
        <w:t xml:space="preserve"> consultations, workshops, and other programs to improve student writing and writing instruction</w:t>
      </w:r>
      <w:r w:rsidR="001A3581">
        <w:t>.</w:t>
      </w:r>
    </w:p>
    <w:p w:rsidR="001A3581" w:rsidRPr="005B1ED8" w:rsidRDefault="006B3FF3" w:rsidP="000945E2">
      <w:pPr>
        <w:pStyle w:val="ListParagraph"/>
        <w:numPr>
          <w:ilvl w:val="0"/>
          <w:numId w:val="47"/>
        </w:numPr>
      </w:pPr>
      <w:hyperlink r:id="rId37" w:history="1">
        <w:r w:rsidR="001A3581" w:rsidRPr="00993945">
          <w:rPr>
            <w:rStyle w:val="NoSpacingChar"/>
            <w:b/>
          </w:rPr>
          <w:t>University Honors Program</w:t>
        </w:r>
      </w:hyperlink>
      <w:r w:rsidR="001A3581">
        <w:t xml:space="preserve"> </w:t>
      </w:r>
      <w:r w:rsidR="001A3581" w:rsidRPr="005B1ED8">
        <w:t>provides special curricular and co-curricular opportunities and academic support for selected high-ability students.</w:t>
      </w:r>
    </w:p>
    <w:p w:rsidR="001A3581" w:rsidRDefault="006B3FF3" w:rsidP="000945E2">
      <w:pPr>
        <w:pStyle w:val="ListParagraph"/>
        <w:numPr>
          <w:ilvl w:val="0"/>
          <w:numId w:val="47"/>
        </w:numPr>
      </w:pPr>
      <w:hyperlink r:id="rId38" w:history="1">
        <w:r w:rsidR="001A3581" w:rsidRPr="00993945">
          <w:rPr>
            <w:rStyle w:val="NoSpacingChar"/>
            <w:b/>
          </w:rPr>
          <w:t>University Academic Scholars Program</w:t>
        </w:r>
      </w:hyperlink>
      <w:r w:rsidR="001A3581" w:rsidRPr="00993945">
        <w:rPr>
          <w:rStyle w:val="NoSpacingChar"/>
          <w:b/>
        </w:rPr>
        <w:t xml:space="preserve"> </w:t>
      </w:r>
      <w:r w:rsidR="001A3581" w:rsidRPr="005B1ED8">
        <w:t>offers unique programming</w:t>
      </w:r>
      <w:r w:rsidR="000B521A">
        <w:t xml:space="preserve"> and experiential opportunities</w:t>
      </w:r>
      <w:r w:rsidR="001A3581" w:rsidRPr="005B1ED8">
        <w:t xml:space="preserve"> for talented students to enhance their undergraduate experience across a variety of a</w:t>
      </w:r>
      <w:r w:rsidR="000B521A">
        <w:t>cademic disciplines</w:t>
      </w:r>
      <w:r w:rsidR="001A3581" w:rsidRPr="005B1ED8">
        <w:t>.</w:t>
      </w:r>
    </w:p>
    <w:p w:rsidR="001A3581" w:rsidRDefault="001A3581" w:rsidP="000945E2">
      <w:pPr>
        <w:pStyle w:val="ListParagraph"/>
        <w:numPr>
          <w:ilvl w:val="0"/>
          <w:numId w:val="47"/>
        </w:numPr>
      </w:pPr>
      <w:r w:rsidRPr="009D64D6">
        <w:rPr>
          <w:b/>
        </w:rPr>
        <w:t>Office of Diversity Affairs</w:t>
      </w:r>
      <w:r>
        <w:t xml:space="preserve"> </w:t>
      </w:r>
      <w:r w:rsidRPr="009D64D6">
        <w:rPr>
          <w:shd w:val="clear" w:color="auto" w:fill="FFFFFF"/>
        </w:rPr>
        <w:t>is responsible for the development and implementation of programs, activities, and procedures designed to enhance the academic success, retention, and personal development of diverse s</w:t>
      </w:r>
      <w:r w:rsidR="00814473">
        <w:rPr>
          <w:shd w:val="clear" w:color="auto" w:fill="FFFFFF"/>
        </w:rPr>
        <w:t>tudent populations, including GL</w:t>
      </w:r>
      <w:r w:rsidRPr="009D64D6">
        <w:rPr>
          <w:shd w:val="clear" w:color="auto" w:fill="FFFFFF"/>
        </w:rPr>
        <w:t>BTQ students.</w:t>
      </w:r>
    </w:p>
    <w:p w:rsidR="001A3581" w:rsidRDefault="001A3581" w:rsidP="000945E2">
      <w:pPr>
        <w:pStyle w:val="ListParagraph"/>
        <w:numPr>
          <w:ilvl w:val="0"/>
          <w:numId w:val="47"/>
        </w:numPr>
      </w:pPr>
      <w:r w:rsidRPr="009D64D6">
        <w:rPr>
          <w:b/>
        </w:rPr>
        <w:t>Women’s Center</w:t>
      </w:r>
      <w:r>
        <w:t xml:space="preserve"> provides a welcoming environment and support services for women students, faculty</w:t>
      </w:r>
      <w:r w:rsidR="007E4066">
        <w:t>,</w:t>
      </w:r>
      <w:r>
        <w:t xml:space="preserve"> and staff.</w:t>
      </w:r>
    </w:p>
    <w:p w:rsidR="001B6398" w:rsidRPr="005B1ED8" w:rsidRDefault="001B6398" w:rsidP="000945E2">
      <w:pPr>
        <w:pStyle w:val="ListParagraph"/>
        <w:numPr>
          <w:ilvl w:val="0"/>
          <w:numId w:val="47"/>
        </w:numPr>
      </w:pPr>
      <w:r w:rsidRPr="00852FA1">
        <w:rPr>
          <w:b/>
        </w:rPr>
        <w:t>Support Services on the Regional Campuses</w:t>
      </w:r>
      <w:r w:rsidRPr="005B1ED8">
        <w:t xml:space="preserve"> include mathematics labs, </w:t>
      </w:r>
      <w:r w:rsidR="00951258">
        <w:t xml:space="preserve">a </w:t>
      </w:r>
      <w:r w:rsidRPr="005B1ED8">
        <w:t xml:space="preserve">writing center, peer tutoring, </w:t>
      </w:r>
      <w:r w:rsidR="007F38C7">
        <w:t xml:space="preserve">and </w:t>
      </w:r>
      <w:r w:rsidRPr="005B1ED8">
        <w:t>academic coaching.</w:t>
      </w:r>
    </w:p>
    <w:p w:rsidR="00125342" w:rsidRDefault="00125342" w:rsidP="00125342">
      <w:r>
        <w:t>Miami also has a variety of programs and forms for support for certain populations of students who are statistically at a higher risk of attrition.  These include the Scholastic Enhancement Program (SEP), the American Culture &amp; English (ACE) Program, the Oxford Pathways (TOP) Program, the English Language Center</w:t>
      </w:r>
      <w:r w:rsidR="00C67391">
        <w:t>,</w:t>
      </w:r>
      <w:r>
        <w:t xml:space="preserve"> as well as support for stu</w:t>
      </w:r>
      <w:r w:rsidR="002A01BC">
        <w:t>dent-athletes.  Additional activities</w:t>
      </w:r>
      <w:r>
        <w:t xml:space="preserve"> are being implemented to provide enhanced support for international students, including on site summer orientations in China, a peer mentoring program, and increased collaborations across campus.</w:t>
      </w:r>
      <w:r w:rsidR="006F4699">
        <w:t xml:space="preserve"> Finally, non-credit-bearing learning opportunities to prepare students for the academic semester are offered during the winter term.</w:t>
      </w:r>
    </w:p>
    <w:p w:rsidR="00095260" w:rsidRDefault="00095260" w:rsidP="00125342">
      <w:r>
        <w:t xml:space="preserve">To equip Miami University to focus </w:t>
      </w:r>
      <w:r w:rsidR="008A361F">
        <w:t xml:space="preserve"> even more cohesively on student success, the Board of Trustees approved the creation of the new Division of Enrollment Management &amp; Student Success in July 2014. The division will coordinate retention and student success initiatives across the university.</w:t>
      </w:r>
    </w:p>
    <w:p w:rsidR="00254663" w:rsidRDefault="00392EDF" w:rsidP="00392EDF">
      <w:pPr>
        <w:rPr>
          <w:rStyle w:val="apple-converted-space"/>
          <w:rFonts w:ascii="Arial" w:hAnsi="Arial" w:cs="Arial"/>
          <w:color w:val="6E6E6E"/>
          <w:sz w:val="21"/>
          <w:szCs w:val="21"/>
          <w:shd w:val="clear" w:color="auto" w:fill="FFFFFF"/>
        </w:rPr>
      </w:pPr>
      <w:r>
        <w:t xml:space="preserve">To further ensure that students are making purposeful choices about their </w:t>
      </w:r>
      <w:r w:rsidR="008F6D6B">
        <w:t xml:space="preserve">courses, </w:t>
      </w:r>
      <w:r>
        <w:t>majors</w:t>
      </w:r>
      <w:r w:rsidR="000E0886">
        <w:t>,</w:t>
      </w:r>
      <w:r>
        <w:t xml:space="preserve"> and degree programs, </w:t>
      </w:r>
      <w:r w:rsidR="00814473">
        <w:t xml:space="preserve">Miami </w:t>
      </w:r>
      <w:r w:rsidR="00254663">
        <w:t xml:space="preserve">recently purchased the </w:t>
      </w:r>
      <w:r w:rsidR="00254663" w:rsidRPr="00392EDF">
        <w:rPr>
          <w:b/>
        </w:rPr>
        <w:t>Student Success Collaborative</w:t>
      </w:r>
      <w:r w:rsidR="00254663">
        <w:t xml:space="preserve">, </w:t>
      </w:r>
      <w:r w:rsidR="00445A11">
        <w:t xml:space="preserve">a </w:t>
      </w:r>
      <w:r>
        <w:rPr>
          <w:shd w:val="clear" w:color="auto" w:fill="FFFFFF"/>
        </w:rPr>
        <w:t>predictive software platform</w:t>
      </w:r>
      <w:r w:rsidR="000E0886">
        <w:rPr>
          <w:shd w:val="clear" w:color="auto" w:fill="FFFFFF"/>
        </w:rPr>
        <w:t xml:space="preserve"> and consulting services</w:t>
      </w:r>
      <w:r>
        <w:rPr>
          <w:shd w:val="clear" w:color="auto" w:fill="FFFFFF"/>
        </w:rPr>
        <w:t xml:space="preserve"> from Education Advisory Board that is customized to Miami</w:t>
      </w:r>
      <w:r w:rsidR="00445A11">
        <w:rPr>
          <w:shd w:val="clear" w:color="auto" w:fill="FFFFFF"/>
        </w:rPr>
        <w:t xml:space="preserve"> and uncovers hidden insights about the patterns of academic success and failure while delivering actionable intelligence to adv</w:t>
      </w:r>
      <w:r w:rsidR="002A01BC">
        <w:rPr>
          <w:shd w:val="clear" w:color="auto" w:fill="FFFFFF"/>
        </w:rPr>
        <w:t>isors and retention specialists.  This platform is being piloted in two academic divisions in 2014-2015 and will eventually be implemented across the university.</w:t>
      </w:r>
    </w:p>
    <w:p w:rsidR="00822313" w:rsidRDefault="002F0B1B" w:rsidP="00822313">
      <w:r>
        <w:lastRenderedPageBreak/>
        <w:t xml:space="preserve">Over the past two years, the Undergraduate Academic Advising Council has developed and begun implementation of a </w:t>
      </w:r>
      <w:r w:rsidR="00BC31EE">
        <w:t xml:space="preserve">comprehensive revision of academic advising at Miami.  </w:t>
      </w:r>
      <w:r w:rsidR="00474E77">
        <w:t>The revision included the following key improvements:</w:t>
      </w:r>
    </w:p>
    <w:p w:rsidR="00DF10F6" w:rsidRDefault="00DF10F6" w:rsidP="000945E2">
      <w:pPr>
        <w:pStyle w:val="ListParagraph"/>
        <w:numPr>
          <w:ilvl w:val="0"/>
          <w:numId w:val="48"/>
        </w:numPr>
      </w:pPr>
      <w:r>
        <w:t>Creating shared objectives and outcomes for academic advising</w:t>
      </w:r>
      <w:r w:rsidR="00824B28">
        <w:t xml:space="preserve"> as well as an assessment plan;</w:t>
      </w:r>
    </w:p>
    <w:p w:rsidR="00474E77" w:rsidRDefault="009F3892" w:rsidP="000945E2">
      <w:pPr>
        <w:pStyle w:val="ListParagraph"/>
        <w:numPr>
          <w:ilvl w:val="0"/>
          <w:numId w:val="48"/>
        </w:numPr>
      </w:pPr>
      <w:r>
        <w:t>Situating academic advising fully in</w:t>
      </w:r>
      <w:r w:rsidR="00474E77">
        <w:t xml:space="preserve"> the academic divisions.</w:t>
      </w:r>
      <w:r w:rsidR="005F6528">
        <w:t xml:space="preserve">  Currently, incoming Oxford students receive academi</w:t>
      </w:r>
      <w:r w:rsidR="004C4267">
        <w:t>c advising for one semester by student af</w:t>
      </w:r>
      <w:r w:rsidR="005F6528">
        <w:t>fairs staff.   During the second semester, students’ advisors change to a faculty member in their department of major.  This shift in advisors during the first year has</w:t>
      </w:r>
      <w:r w:rsidR="005B6F41">
        <w:t xml:space="preserve"> at times</w:t>
      </w:r>
      <w:r w:rsidR="005F6528">
        <w:t xml:space="preserve"> been confusing and cumbersome</w:t>
      </w:r>
      <w:r w:rsidR="005B6F41">
        <w:t xml:space="preserve"> for students</w:t>
      </w:r>
      <w:r w:rsidR="005F6528">
        <w:t>.  Effective fall 2015, students will be assigned a faculty advisor beginning in their first semester at Miami.</w:t>
      </w:r>
    </w:p>
    <w:p w:rsidR="000E0886" w:rsidRDefault="00DF10F6" w:rsidP="000945E2">
      <w:pPr>
        <w:pStyle w:val="ListParagraph"/>
        <w:numPr>
          <w:ilvl w:val="0"/>
          <w:numId w:val="48"/>
        </w:numPr>
      </w:pPr>
      <w:r>
        <w:t>Developing a unified approach to advisor training.</w:t>
      </w:r>
      <w:r w:rsidR="00E778EE">
        <w:t xml:space="preserve">  The UAAC has created three required and one optional training module fo</w:t>
      </w:r>
      <w:r w:rsidR="005B6F41">
        <w:t>r faculty and staff advisors. The modules</w:t>
      </w:r>
      <w:r w:rsidR="00E778EE">
        <w:t xml:space="preserve"> provide </w:t>
      </w:r>
      <w:r w:rsidR="000B13E2">
        <w:t>an introduction to the Miami advising philosophy, out</w:t>
      </w:r>
      <w:r w:rsidR="009F3892">
        <w:t xml:space="preserve">comes and system as well as </w:t>
      </w:r>
      <w:r w:rsidR="000B13E2">
        <w:t>p</w:t>
      </w:r>
      <w:r w:rsidR="004C0333">
        <w:t>olicies and protocols.  They</w:t>
      </w:r>
      <w:r w:rsidR="009F3892">
        <w:t xml:space="preserve"> </w:t>
      </w:r>
      <w:r w:rsidR="000B13E2">
        <w:t xml:space="preserve">also instruct advisors on </w:t>
      </w:r>
      <w:r w:rsidR="007727B5">
        <w:t xml:space="preserve">using online advising tools, </w:t>
      </w:r>
      <w:r w:rsidR="000B13E2">
        <w:t xml:space="preserve">conducting </w:t>
      </w:r>
      <w:r w:rsidR="007727B5">
        <w:t>an effective advising session, and handling common problems and special needs.</w:t>
      </w:r>
      <w:r w:rsidR="00824B28">
        <w:t xml:space="preserve"> Modules</w:t>
      </w:r>
      <w:r w:rsidR="007618EF">
        <w:t xml:space="preserve"> are supplemented by clear, transparent online resources</w:t>
      </w:r>
      <w:r w:rsidR="009F3892">
        <w:t xml:space="preserve"> for advisors and students</w:t>
      </w:r>
      <w:r w:rsidR="007618EF">
        <w:t>.</w:t>
      </w:r>
    </w:p>
    <w:p w:rsidR="007727B5" w:rsidRDefault="00DF10F6" w:rsidP="000945E2">
      <w:pPr>
        <w:pStyle w:val="ListParagraph"/>
        <w:numPr>
          <w:ilvl w:val="0"/>
          <w:numId w:val="48"/>
        </w:numPr>
      </w:pPr>
      <w:r>
        <w:t xml:space="preserve">Leveraging appropriate e-tools to </w:t>
      </w:r>
      <w:r w:rsidR="007727B5">
        <w:t>enhance advisement, including the St</w:t>
      </w:r>
      <w:r w:rsidR="007618EF">
        <w:t>udent Success Collaborative and u.Direct,</w:t>
      </w:r>
      <w:r w:rsidR="007727B5">
        <w:t xml:space="preserve"> a web application technology designed to enable students and advisors to explore multiple degree paths and identify a four-year schedule for success. </w:t>
      </w:r>
    </w:p>
    <w:p w:rsidR="00B45A47" w:rsidRDefault="007F38C7" w:rsidP="004F7094">
      <w:pPr>
        <w:rPr>
          <w:rStyle w:val="NoSpacingChar"/>
        </w:rPr>
      </w:pPr>
      <w:r>
        <w:rPr>
          <w:rStyle w:val="NoSpacingChar"/>
        </w:rPr>
        <w:t>Faculty are als</w:t>
      </w:r>
      <w:r w:rsidR="00125342">
        <w:rPr>
          <w:rStyle w:val="NoSpacingChar"/>
        </w:rPr>
        <w:t xml:space="preserve">o given </w:t>
      </w:r>
      <w:r w:rsidR="004C4267">
        <w:rPr>
          <w:rStyle w:val="NoSpacingChar"/>
        </w:rPr>
        <w:t xml:space="preserve">teaching </w:t>
      </w:r>
      <w:r w:rsidR="00125342">
        <w:rPr>
          <w:rStyle w:val="NoSpacingChar"/>
        </w:rPr>
        <w:t>support to meet the needs of their students</w:t>
      </w:r>
      <w:r>
        <w:rPr>
          <w:rStyle w:val="NoSpacingChar"/>
        </w:rPr>
        <w:t xml:space="preserve">.  </w:t>
      </w:r>
      <w:r w:rsidR="00F63432">
        <w:rPr>
          <w:rStyle w:val="NoSpacingChar"/>
        </w:rPr>
        <w:t xml:space="preserve">In addition to a wide variety of faculty learning communities, workshops, and online resources, </w:t>
      </w:r>
      <w:r w:rsidR="00B45A47">
        <w:rPr>
          <w:rStyle w:val="NoSpacingChar"/>
        </w:rPr>
        <w:t>CELTUA</w:t>
      </w:r>
      <w:r w:rsidR="00F63432">
        <w:rPr>
          <w:rStyle w:val="NoSpacingChar"/>
        </w:rPr>
        <w:t xml:space="preserve"> also collaborated with the </w:t>
      </w:r>
      <w:r w:rsidR="00C0096A">
        <w:rPr>
          <w:rStyle w:val="NoSpacingChar"/>
        </w:rPr>
        <w:t>Graduate School to launch</w:t>
      </w:r>
      <w:r w:rsidR="00F63432">
        <w:rPr>
          <w:rStyle w:val="NoSpacingChar"/>
        </w:rPr>
        <w:t xml:space="preserve"> a Graduate Student Teaching Effectiveness Program </w:t>
      </w:r>
      <w:r w:rsidR="00C0096A">
        <w:rPr>
          <w:rStyle w:val="NoSpacingChar"/>
        </w:rPr>
        <w:t xml:space="preserve">in 2005 </w:t>
      </w:r>
      <w:r w:rsidR="00F63432">
        <w:rPr>
          <w:rStyle w:val="NoSpacingChar"/>
        </w:rPr>
        <w:t>and a Certificate in College Teaching</w:t>
      </w:r>
      <w:r w:rsidR="00C0096A">
        <w:rPr>
          <w:rStyle w:val="NoSpacingChar"/>
        </w:rPr>
        <w:t xml:space="preserve"> in 2010</w:t>
      </w:r>
      <w:r w:rsidR="00F63432">
        <w:rPr>
          <w:rStyle w:val="NoSpacingChar"/>
        </w:rPr>
        <w:t xml:space="preserve">.  </w:t>
      </w:r>
      <w:r w:rsidR="007D6A5E">
        <w:rPr>
          <w:rStyle w:val="NoSpacingChar"/>
        </w:rPr>
        <w:t>For the past 35 years, CELTUA has hosted</w:t>
      </w:r>
      <w:r w:rsidR="00911B42">
        <w:rPr>
          <w:rStyle w:val="NoSpacingChar"/>
        </w:rPr>
        <w:t xml:space="preserve"> a national conference, the Lilly Conference</w:t>
      </w:r>
      <w:r w:rsidR="007D6A5E">
        <w:rPr>
          <w:rStyle w:val="NoSpacingChar"/>
        </w:rPr>
        <w:t xml:space="preserve"> on College Teaching</w:t>
      </w:r>
      <w:r w:rsidR="004C4267">
        <w:rPr>
          <w:rStyle w:val="NoSpacingChar"/>
        </w:rPr>
        <w:t xml:space="preserve"> which brings internationally renowned teaching experts to Miami</w:t>
      </w:r>
      <w:r w:rsidR="007D6A5E">
        <w:rPr>
          <w:rStyle w:val="NoSpacingChar"/>
        </w:rPr>
        <w:t xml:space="preserve">, </w:t>
      </w:r>
      <w:r w:rsidR="00911B42">
        <w:rPr>
          <w:rStyle w:val="NoSpacingChar"/>
        </w:rPr>
        <w:t xml:space="preserve">and </w:t>
      </w:r>
      <w:r w:rsidR="007D6A5E">
        <w:rPr>
          <w:rStyle w:val="NoSpacingChar"/>
        </w:rPr>
        <w:t xml:space="preserve">it </w:t>
      </w:r>
      <w:r w:rsidR="004C0333">
        <w:rPr>
          <w:rStyle w:val="NoSpacingChar"/>
        </w:rPr>
        <w:t xml:space="preserve">also </w:t>
      </w:r>
      <w:r w:rsidR="00911B42">
        <w:rPr>
          <w:rStyle w:val="NoSpacingChar"/>
        </w:rPr>
        <w:t>produces two nationally recognized journals focusing on the scholarship of teaching and learning (SoTL).</w:t>
      </w:r>
    </w:p>
    <w:p w:rsidR="00266C3E" w:rsidRDefault="00C251E3" w:rsidP="004F7094">
      <w:r>
        <w:rPr>
          <w:rStyle w:val="NoSpacingChar"/>
        </w:rPr>
        <w:t>The u</w:t>
      </w:r>
      <w:r w:rsidR="00655191" w:rsidRPr="00096723">
        <w:rPr>
          <w:rStyle w:val="NoSpacingChar"/>
        </w:rPr>
        <w:t>niversity makes sure that it provides the infrastructure and resources necessary to support effective teaching</w:t>
      </w:r>
      <w:r w:rsidR="00655191" w:rsidRPr="004E5333">
        <w:t xml:space="preserve"> and learning</w:t>
      </w:r>
      <w:r w:rsidR="00655191">
        <w:t xml:space="preserve"> through a cam</w:t>
      </w:r>
      <w:r w:rsidR="00491C44">
        <w:t>pus master pla</w:t>
      </w:r>
      <w:r w:rsidR="00C040A2">
        <w:t>n</w:t>
      </w:r>
      <w:r w:rsidR="00FC5A5E">
        <w:t>, a master</w:t>
      </w:r>
      <w:r w:rsidR="00F31E29">
        <w:t xml:space="preserve"> housing plan, </w:t>
      </w:r>
      <w:r w:rsidR="006A29C3">
        <w:t xml:space="preserve">and </w:t>
      </w:r>
      <w:r w:rsidR="004C0333">
        <w:t xml:space="preserve">a </w:t>
      </w:r>
      <w:r w:rsidR="00FC5A5E">
        <w:t>master</w:t>
      </w:r>
      <w:r w:rsidR="006A29C3">
        <w:t xml:space="preserve"> lighting plan. Instituted in 2005</w:t>
      </w:r>
      <w:r>
        <w:t xml:space="preserve"> and appointed by the president, the</w:t>
      </w:r>
      <w:r w:rsidR="006E0420">
        <w:t xml:space="preserve"> space utilization g</w:t>
      </w:r>
      <w:r w:rsidR="00655191">
        <w:t xml:space="preserve">roup </w:t>
      </w:r>
      <w:r>
        <w:t>(SUG)</w:t>
      </w:r>
      <w:r w:rsidR="00491C44">
        <w:t xml:space="preserve"> includes repres</w:t>
      </w:r>
      <w:r>
        <w:t xml:space="preserve">entation from each division and </w:t>
      </w:r>
      <w:r w:rsidR="00491C44">
        <w:t>centralizes the assignment and utilization of space to promote the effective attainment of the teaching, research, a</w:t>
      </w:r>
      <w:r w:rsidR="00C91B71">
        <w:t>nd public service goals of the u</w:t>
      </w:r>
      <w:r w:rsidR="00491C44">
        <w:t>niversity.</w:t>
      </w:r>
      <w:r w:rsidR="00C34265">
        <w:t xml:space="preserve">  Decisions made by SUG are also guided by </w:t>
      </w:r>
      <w:r w:rsidR="00096723">
        <w:t xml:space="preserve">departmental and divisional input and needs, </w:t>
      </w:r>
      <w:r w:rsidR="00C34265">
        <w:t xml:space="preserve">Miami policy as well as standards set forth by the State of Ohio and the Ohio Board of Regents.  </w:t>
      </w:r>
    </w:p>
    <w:p w:rsidR="00A867DD" w:rsidRDefault="00456D41" w:rsidP="00AA3418">
      <w:r w:rsidRPr="00456D41">
        <w:t xml:space="preserve">Critical to the success of the learning environment, the </w:t>
      </w:r>
      <w:r w:rsidR="007942E7" w:rsidRPr="00AA3418">
        <w:t>Division of IT Services</w:t>
      </w:r>
      <w:r w:rsidR="00FC5A5E" w:rsidRPr="00AA3418">
        <w:t xml:space="preserve"> </w:t>
      </w:r>
      <w:r w:rsidR="00A867DD">
        <w:t xml:space="preserve">provides the following services and programs: </w:t>
      </w:r>
    </w:p>
    <w:p w:rsidR="00A867DD" w:rsidRPr="006A5526" w:rsidRDefault="00A867DD" w:rsidP="00F5054C">
      <w:pPr>
        <w:pStyle w:val="NoSpacing"/>
        <w:numPr>
          <w:ilvl w:val="0"/>
          <w:numId w:val="71"/>
        </w:numPr>
      </w:pPr>
      <w:r w:rsidRPr="006A5526">
        <w:t xml:space="preserve">Business Intelligence </w:t>
      </w:r>
      <w:r w:rsidR="003E5500" w:rsidRPr="006A5526">
        <w:t xml:space="preserve">to drive data-informed </w:t>
      </w:r>
      <w:r w:rsidR="006E0420">
        <w:t>decisions across the u</w:t>
      </w:r>
      <w:r w:rsidR="00C41148">
        <w:t>niversity;</w:t>
      </w:r>
    </w:p>
    <w:p w:rsidR="003E5500" w:rsidRPr="006A5526" w:rsidRDefault="003E5500" w:rsidP="00F5054C">
      <w:pPr>
        <w:pStyle w:val="NoSpacing"/>
        <w:numPr>
          <w:ilvl w:val="0"/>
          <w:numId w:val="71"/>
        </w:numPr>
      </w:pPr>
      <w:r w:rsidRPr="006A5526">
        <w:t>Campus partnerships to provide desktop computing support to all administrative areas</w:t>
      </w:r>
      <w:r w:rsidR="00C41148">
        <w:t>;</w:t>
      </w:r>
    </w:p>
    <w:p w:rsidR="003E5500" w:rsidRPr="006A5526" w:rsidRDefault="006F4699" w:rsidP="00F5054C">
      <w:pPr>
        <w:pStyle w:val="NoSpacing"/>
        <w:numPr>
          <w:ilvl w:val="0"/>
          <w:numId w:val="71"/>
        </w:numPr>
      </w:pPr>
      <w:r>
        <w:t>Student success</w:t>
      </w:r>
      <w:r w:rsidR="003E5500" w:rsidRPr="006A5526">
        <w:t xml:space="preserve"> management to </w:t>
      </w:r>
      <w:r w:rsidR="006555A6">
        <w:t>track applicants throughout their lifetimes</w:t>
      </w:r>
      <w:r w:rsidR="00C41148">
        <w:t xml:space="preserve"> and provide</w:t>
      </w:r>
      <w:r w:rsidR="006A5526" w:rsidRPr="006A5526">
        <w:t xml:space="preserve"> information to relevant university units when appropriate</w:t>
      </w:r>
      <w:r w:rsidR="00C41148">
        <w:t>;</w:t>
      </w:r>
    </w:p>
    <w:p w:rsidR="003E5500" w:rsidRPr="006A5526" w:rsidRDefault="003E5500" w:rsidP="00F5054C">
      <w:pPr>
        <w:pStyle w:val="NoSpacing"/>
        <w:numPr>
          <w:ilvl w:val="0"/>
          <w:numId w:val="71"/>
        </w:numPr>
      </w:pPr>
      <w:r w:rsidRPr="006A5526">
        <w:t xml:space="preserve">Enterprise resource planning </w:t>
      </w:r>
      <w:r w:rsidR="006E0420">
        <w:t>to manage data across the university</w:t>
      </w:r>
      <w:r w:rsidR="00C41148">
        <w:t>;</w:t>
      </w:r>
    </w:p>
    <w:p w:rsidR="003E5500" w:rsidRPr="006A5526" w:rsidRDefault="003E5500" w:rsidP="00F5054C">
      <w:pPr>
        <w:pStyle w:val="NoSpacing"/>
        <w:numPr>
          <w:ilvl w:val="0"/>
          <w:numId w:val="71"/>
        </w:numPr>
      </w:pPr>
      <w:r w:rsidRPr="006A5526">
        <w:t>IT service management</w:t>
      </w:r>
      <w:r w:rsidR="003427A0">
        <w:t>, which was recently launched,</w:t>
      </w:r>
      <w:r w:rsidRPr="006A5526">
        <w:t xml:space="preserve"> to </w:t>
      </w:r>
      <w:r w:rsidR="006A5526" w:rsidRPr="006A5526">
        <w:t>ensure consistency in the processes used to deliver and continuously improve provided information technology services</w:t>
      </w:r>
      <w:r w:rsidR="00C41148">
        <w:t>;</w:t>
      </w:r>
    </w:p>
    <w:p w:rsidR="006A5526" w:rsidRDefault="006A5526" w:rsidP="00F5054C">
      <w:pPr>
        <w:pStyle w:val="NoSpacing"/>
        <w:numPr>
          <w:ilvl w:val="0"/>
          <w:numId w:val="71"/>
        </w:numPr>
      </w:pPr>
      <w:r w:rsidRPr="006A5526">
        <w:t>Miami notebook program to provide Miami students a consistent computing experience; pre-configured to use common software packages used by students in their classes</w:t>
      </w:r>
      <w:r w:rsidR="00C41148">
        <w:t>.</w:t>
      </w:r>
    </w:p>
    <w:p w:rsidR="00852FA1" w:rsidRPr="006A5526" w:rsidRDefault="00852FA1" w:rsidP="00852FA1">
      <w:pPr>
        <w:pStyle w:val="NoSpacing"/>
        <w:ind w:left="720"/>
      </w:pPr>
    </w:p>
    <w:p w:rsidR="00D3166A" w:rsidRDefault="006A5526" w:rsidP="00AA3418">
      <w:r>
        <w:t xml:space="preserve">In 2007, IT Services developed a strategic plan </w:t>
      </w:r>
      <w:r w:rsidR="00FC5A5E" w:rsidRPr="00AA3418">
        <w:t xml:space="preserve">which was </w:t>
      </w:r>
      <w:r w:rsidR="00D3166A" w:rsidRPr="00AA3418">
        <w:t xml:space="preserve">updated in 2009 and </w:t>
      </w:r>
      <w:r>
        <w:t xml:space="preserve">has been </w:t>
      </w:r>
      <w:r w:rsidR="00D3166A" w:rsidRPr="00AA3418">
        <w:t>assessed annually</w:t>
      </w:r>
      <w:r>
        <w:t xml:space="preserve"> since then</w:t>
      </w:r>
      <w:r w:rsidR="00D3166A" w:rsidRPr="00AA3418">
        <w:t>. In 2014, IT Services created a new set of planning strategies for meeting the objectives and goals of the Miami 2020 Plan.</w:t>
      </w:r>
      <w:r w:rsidR="00C233B8" w:rsidRPr="00AA3418">
        <w:t xml:space="preserve">  The framing principles underlying IT planning are: quality; accountability; efficiency; growing and </w:t>
      </w:r>
      <w:r w:rsidR="00C233B8" w:rsidRPr="00AA3418">
        <w:lastRenderedPageBreak/>
        <w:t>leveraging resources; collaboration and inclusiveness; the use of technology to enrich personalized learning; and extraordinary student outcomes, academic rigor, innovation</w:t>
      </w:r>
      <w:r w:rsidR="006E0420">
        <w:t>,</w:t>
      </w:r>
      <w:r w:rsidR="00C233B8" w:rsidRPr="00AA3418">
        <w:t xml:space="preserve"> and creativity.  </w:t>
      </w:r>
    </w:p>
    <w:p w:rsidR="00D036E1" w:rsidRDefault="00D036E1" w:rsidP="00AA3418">
      <w:r>
        <w:t>Key strategies for future implementation include:</w:t>
      </w:r>
    </w:p>
    <w:p w:rsidR="00D036E1" w:rsidRPr="00D036E1" w:rsidRDefault="00C41148" w:rsidP="00F5054C">
      <w:pPr>
        <w:pStyle w:val="ListParagraph"/>
        <w:numPr>
          <w:ilvl w:val="0"/>
          <w:numId w:val="49"/>
        </w:numPr>
        <w:rPr>
          <w:rStyle w:val="Strong"/>
          <w:b w:val="0"/>
          <w:bCs w:val="0"/>
        </w:rPr>
      </w:pPr>
      <w:r>
        <w:rPr>
          <w:rStyle w:val="Strong"/>
          <w:b w:val="0"/>
          <w:bCs w:val="0"/>
        </w:rPr>
        <w:t>Launch a service e</w:t>
      </w:r>
      <w:r w:rsidR="00D036E1" w:rsidRPr="00D036E1">
        <w:rPr>
          <w:rStyle w:val="Strong"/>
          <w:b w:val="0"/>
          <w:bCs w:val="0"/>
        </w:rPr>
        <w:t>xcellence initiative to achieve step-function improvements across the entire catalog</w:t>
      </w:r>
      <w:r>
        <w:rPr>
          <w:rStyle w:val="Strong"/>
          <w:b w:val="0"/>
          <w:bCs w:val="0"/>
        </w:rPr>
        <w:t>ue of IT services;</w:t>
      </w:r>
      <w:r w:rsidR="00D036E1" w:rsidRPr="00D036E1">
        <w:rPr>
          <w:rStyle w:val="Strong"/>
          <w:b w:val="0"/>
          <w:bCs w:val="0"/>
        </w:rPr>
        <w:t xml:space="preserve">  </w:t>
      </w:r>
    </w:p>
    <w:p w:rsidR="00D036E1" w:rsidRPr="00D036E1" w:rsidRDefault="00D036E1" w:rsidP="00F5054C">
      <w:pPr>
        <w:pStyle w:val="ListParagraph"/>
        <w:numPr>
          <w:ilvl w:val="0"/>
          <w:numId w:val="49"/>
        </w:numPr>
        <w:rPr>
          <w:rStyle w:val="Strong"/>
          <w:b w:val="0"/>
          <w:bCs w:val="0"/>
        </w:rPr>
      </w:pPr>
      <w:r w:rsidRPr="00D036E1">
        <w:rPr>
          <w:rStyle w:val="Strong"/>
          <w:b w:val="0"/>
          <w:bCs w:val="0"/>
        </w:rPr>
        <w:t>Deploy faculty-selected IT staff members to provide classroom IT instruction and combine faculty-led research wi</w:t>
      </w:r>
      <w:r w:rsidR="00C41148">
        <w:rPr>
          <w:rStyle w:val="Strong"/>
          <w:b w:val="0"/>
          <w:bCs w:val="0"/>
        </w:rPr>
        <w:t>th hands-on knowledge;</w:t>
      </w:r>
    </w:p>
    <w:p w:rsidR="00D036E1" w:rsidRPr="00D036E1" w:rsidRDefault="00D036E1" w:rsidP="00F5054C">
      <w:pPr>
        <w:pStyle w:val="ListParagraph"/>
        <w:numPr>
          <w:ilvl w:val="0"/>
          <w:numId w:val="49"/>
        </w:numPr>
        <w:rPr>
          <w:rStyle w:val="Strong"/>
          <w:b w:val="0"/>
          <w:bCs w:val="0"/>
        </w:rPr>
      </w:pPr>
      <w:r w:rsidRPr="00D036E1">
        <w:rPr>
          <w:rStyle w:val="Strong"/>
          <w:b w:val="0"/>
          <w:bCs w:val="0"/>
        </w:rPr>
        <w:t xml:space="preserve">Provide academic departments and divisions with opportunities to enhance student learning through guest lectures on IT issues and trends, data </w:t>
      </w:r>
      <w:r w:rsidR="006555A6">
        <w:rPr>
          <w:rStyle w:val="Strong"/>
          <w:b w:val="0"/>
          <w:bCs w:val="0"/>
        </w:rPr>
        <w:t xml:space="preserve">center tours, and </w:t>
      </w:r>
      <w:r w:rsidRPr="00D036E1">
        <w:rPr>
          <w:rStyle w:val="Strong"/>
          <w:b w:val="0"/>
          <w:bCs w:val="0"/>
        </w:rPr>
        <w:t>forums.</w:t>
      </w:r>
    </w:p>
    <w:p w:rsidR="00194813" w:rsidRPr="00AA3418" w:rsidRDefault="00AA3418" w:rsidP="00AA3418">
      <w:r w:rsidRPr="00AA3418">
        <w:t xml:space="preserve">To assess </w:t>
      </w:r>
      <w:r w:rsidR="006555A6">
        <w:t xml:space="preserve">the overall quality of the division’s performance, </w:t>
      </w:r>
      <w:r w:rsidRPr="00AA3418">
        <w:t xml:space="preserve">IT Services uses </w:t>
      </w:r>
      <w:r w:rsidR="003427A0">
        <w:t xml:space="preserve">industry-standard capability models, such as </w:t>
      </w:r>
      <w:r w:rsidR="00194813" w:rsidRPr="00AA3418">
        <w:t xml:space="preserve">the </w:t>
      </w:r>
      <w:r w:rsidRPr="006E0420">
        <w:rPr>
          <w:i/>
        </w:rPr>
        <w:t>TechQual+</w:t>
      </w:r>
      <w:r w:rsidRPr="00AA3418">
        <w:t xml:space="preserve"> survey, which</w:t>
      </w:r>
      <w:r w:rsidR="00B30465">
        <w:t xml:space="preserve"> enables</w:t>
      </w:r>
      <w:r w:rsidR="00194813" w:rsidRPr="00AA3418">
        <w:t xml:space="preserve"> benchmarking against oth</w:t>
      </w:r>
      <w:r w:rsidR="00B30465">
        <w:t>er institutions as well as</w:t>
      </w:r>
      <w:r w:rsidR="00194813" w:rsidRPr="00AA3418">
        <w:t xml:space="preserve"> longitu</w:t>
      </w:r>
      <w:r w:rsidR="00B30465">
        <w:t>dinal analysis</w:t>
      </w:r>
      <w:r w:rsidR="00194813" w:rsidRPr="00AA3418">
        <w:t xml:space="preserve">.  </w:t>
      </w:r>
    </w:p>
    <w:p w:rsidR="001C3CBC" w:rsidRDefault="001C3CBC" w:rsidP="001C3CBC">
      <w:pPr>
        <w:rPr>
          <w:shd w:val="clear" w:color="auto" w:fill="FFFFFF"/>
        </w:rPr>
      </w:pPr>
      <w:r>
        <w:rPr>
          <w:shd w:val="clear" w:color="auto" w:fill="FFFFFF"/>
        </w:rPr>
        <w:t>University Libraries is foundational to supporting excellence in learning and teaching.  It houses over 4 million books and journals and provides library instruction to approximately 20,000 participants each year.  Miami has four libraries on the Oxford campus and a library on the Hamilton and Middletown campuses as well as library resources at MUDEC and the VOALC.  The University Libraries also maintains an off-site storage facility on the Middletown campus.  This facility is in partnership with the University of Cincinnati, Wright State University and Central State University.  These libraries provide research assistance, extended access, open access publishing, study and meeting space, a café, and several premier learning centers including the Howe Writing Center, Center for Information Management, Center for Digital Scholarship,  a gaming lab in partnership with the Armstrong Interactive Media Studies program and the new Office for Research of Undergraduates. University Libraries also has developed a comprehensive strategic plan as part of the Miami 2020 planning effort.</w:t>
      </w:r>
    </w:p>
    <w:p w:rsidR="004E5333" w:rsidRDefault="00EF4B54" w:rsidP="00963649">
      <w:r>
        <w:t xml:space="preserve">Miami has </w:t>
      </w:r>
      <w:r w:rsidR="00922DBA">
        <w:t xml:space="preserve">research and teaching </w:t>
      </w:r>
      <w:r>
        <w:t xml:space="preserve">laboratories for </w:t>
      </w:r>
      <w:r w:rsidR="00922DBA">
        <w:t>a wide range of disciplines and interdisciplinary fields, including human performance, dietetics, high field magnet</w:t>
      </w:r>
      <w:r w:rsidR="00852FA1">
        <w:t>ic</w:t>
      </w:r>
      <w:r w:rsidR="00922DBA">
        <w:t xml:space="preserve"> resonance</w:t>
      </w:r>
      <w:r w:rsidR="00852FA1">
        <w:t xml:space="preserve"> spectroscopy</w:t>
      </w:r>
      <w:r w:rsidR="00922DBA">
        <w:t>, molecular microspectroscopy, neuromuscular performance, biological anthropology, archaeology, cultural and linguistic anthropology, robotics, rapid prototyping</w:t>
      </w:r>
      <w:r w:rsidR="00883586">
        <w:t>, and nursing.</w:t>
      </w:r>
      <w:r w:rsidR="003618D1">
        <w:t xml:space="preserve"> The information below summarizes Miami’s space for labor</w:t>
      </w:r>
      <w:r w:rsidR="00915295">
        <w:t xml:space="preserve">atories in </w:t>
      </w:r>
      <w:r w:rsidR="003618D1">
        <w:t>the 2013-2014 academic year</w:t>
      </w:r>
      <w:r w:rsidR="00915295">
        <w:t>:</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0"/>
        <w:gridCol w:w="1800"/>
        <w:gridCol w:w="2610"/>
      </w:tblGrid>
      <w:tr w:rsidR="00915295" w:rsidRPr="00DB6C5A" w:rsidTr="00441283">
        <w:trPr>
          <w:trHeight w:val="312"/>
        </w:trPr>
        <w:tc>
          <w:tcPr>
            <w:tcW w:w="5010" w:type="dxa"/>
          </w:tcPr>
          <w:p w:rsidR="00915295" w:rsidRPr="00DB6C5A" w:rsidRDefault="00915295" w:rsidP="00DB6C5A">
            <w:pPr>
              <w:jc w:val="center"/>
              <w:rPr>
                <w:b/>
              </w:rPr>
            </w:pPr>
            <w:r w:rsidRPr="00DB6C5A">
              <w:rPr>
                <w:b/>
              </w:rPr>
              <w:t>Type of Space</w:t>
            </w:r>
          </w:p>
        </w:tc>
        <w:tc>
          <w:tcPr>
            <w:tcW w:w="1800" w:type="dxa"/>
          </w:tcPr>
          <w:p w:rsidR="00915295" w:rsidRPr="00DB6C5A" w:rsidRDefault="00915295" w:rsidP="00DB6C5A">
            <w:pPr>
              <w:jc w:val="center"/>
              <w:rPr>
                <w:b/>
              </w:rPr>
            </w:pPr>
            <w:r w:rsidRPr="00DB6C5A">
              <w:rPr>
                <w:b/>
              </w:rPr>
              <w:t>Total Number</w:t>
            </w:r>
          </w:p>
        </w:tc>
        <w:tc>
          <w:tcPr>
            <w:tcW w:w="2610" w:type="dxa"/>
          </w:tcPr>
          <w:p w:rsidR="00915295" w:rsidRPr="00DB6C5A" w:rsidRDefault="00915295" w:rsidP="00DB6C5A">
            <w:pPr>
              <w:jc w:val="center"/>
              <w:rPr>
                <w:b/>
              </w:rPr>
            </w:pPr>
            <w:r w:rsidRPr="00DB6C5A">
              <w:rPr>
                <w:b/>
              </w:rPr>
              <w:t>Total Net Square Feet</w:t>
            </w:r>
          </w:p>
        </w:tc>
      </w:tr>
      <w:tr w:rsidR="00915295" w:rsidTr="00441283">
        <w:trPr>
          <w:trHeight w:val="312"/>
        </w:trPr>
        <w:tc>
          <w:tcPr>
            <w:tcW w:w="5010" w:type="dxa"/>
          </w:tcPr>
          <w:p w:rsidR="00915295" w:rsidRDefault="00915295" w:rsidP="00915295">
            <w:r>
              <w:t>Class Laboratories</w:t>
            </w:r>
          </w:p>
        </w:tc>
        <w:tc>
          <w:tcPr>
            <w:tcW w:w="1800" w:type="dxa"/>
          </w:tcPr>
          <w:p w:rsidR="00915295" w:rsidRDefault="00915295" w:rsidP="00DB6C5A">
            <w:pPr>
              <w:jc w:val="center"/>
            </w:pPr>
            <w:r>
              <w:t>161</w:t>
            </w:r>
          </w:p>
        </w:tc>
        <w:tc>
          <w:tcPr>
            <w:tcW w:w="2610" w:type="dxa"/>
          </w:tcPr>
          <w:p w:rsidR="00915295" w:rsidRDefault="00915295" w:rsidP="00DB6C5A">
            <w:pPr>
              <w:jc w:val="center"/>
            </w:pPr>
            <w:r>
              <w:t>169,903</w:t>
            </w:r>
          </w:p>
        </w:tc>
      </w:tr>
      <w:tr w:rsidR="00915295" w:rsidTr="00441283">
        <w:trPr>
          <w:trHeight w:val="312"/>
        </w:trPr>
        <w:tc>
          <w:tcPr>
            <w:tcW w:w="5010" w:type="dxa"/>
          </w:tcPr>
          <w:p w:rsidR="00915295" w:rsidRDefault="00441283" w:rsidP="00915295">
            <w:r>
              <w:t>Class Laboratory Service Areas</w:t>
            </w:r>
          </w:p>
        </w:tc>
        <w:tc>
          <w:tcPr>
            <w:tcW w:w="1800" w:type="dxa"/>
          </w:tcPr>
          <w:p w:rsidR="00915295" w:rsidRDefault="00441283" w:rsidP="00DB6C5A">
            <w:pPr>
              <w:jc w:val="center"/>
            </w:pPr>
            <w:r>
              <w:t>149</w:t>
            </w:r>
          </w:p>
        </w:tc>
        <w:tc>
          <w:tcPr>
            <w:tcW w:w="2610" w:type="dxa"/>
          </w:tcPr>
          <w:p w:rsidR="00915295" w:rsidRDefault="00441283" w:rsidP="00DB6C5A">
            <w:pPr>
              <w:jc w:val="center"/>
            </w:pPr>
            <w:r>
              <w:t>36,481</w:t>
            </w:r>
          </w:p>
        </w:tc>
      </w:tr>
      <w:tr w:rsidR="00441283" w:rsidTr="00441283">
        <w:trPr>
          <w:trHeight w:val="312"/>
        </w:trPr>
        <w:tc>
          <w:tcPr>
            <w:tcW w:w="5010" w:type="dxa"/>
          </w:tcPr>
          <w:p w:rsidR="00441283" w:rsidRDefault="00441283" w:rsidP="00915295">
            <w:r>
              <w:t>Research (Non-Class) Laboratories</w:t>
            </w:r>
          </w:p>
        </w:tc>
        <w:tc>
          <w:tcPr>
            <w:tcW w:w="1800" w:type="dxa"/>
          </w:tcPr>
          <w:p w:rsidR="00441283" w:rsidRDefault="00441283" w:rsidP="00DB6C5A">
            <w:pPr>
              <w:jc w:val="center"/>
            </w:pPr>
            <w:r>
              <w:t>374</w:t>
            </w:r>
          </w:p>
        </w:tc>
        <w:tc>
          <w:tcPr>
            <w:tcW w:w="2610" w:type="dxa"/>
          </w:tcPr>
          <w:p w:rsidR="00441283" w:rsidRDefault="00441283" w:rsidP="00DB6C5A">
            <w:pPr>
              <w:jc w:val="center"/>
            </w:pPr>
            <w:r>
              <w:t>117,878</w:t>
            </w:r>
          </w:p>
        </w:tc>
      </w:tr>
      <w:tr w:rsidR="00441283" w:rsidTr="00441283">
        <w:trPr>
          <w:trHeight w:val="312"/>
        </w:trPr>
        <w:tc>
          <w:tcPr>
            <w:tcW w:w="5010" w:type="dxa"/>
          </w:tcPr>
          <w:p w:rsidR="00441283" w:rsidRDefault="00441283" w:rsidP="00915295">
            <w:r>
              <w:t>Research (Non-Class) Laboratory Service Areas</w:t>
            </w:r>
          </w:p>
        </w:tc>
        <w:tc>
          <w:tcPr>
            <w:tcW w:w="1800" w:type="dxa"/>
          </w:tcPr>
          <w:p w:rsidR="00441283" w:rsidRDefault="00441283" w:rsidP="00DB6C5A">
            <w:pPr>
              <w:jc w:val="center"/>
            </w:pPr>
            <w:r>
              <w:t>217</w:t>
            </w:r>
          </w:p>
        </w:tc>
        <w:tc>
          <w:tcPr>
            <w:tcW w:w="2610" w:type="dxa"/>
          </w:tcPr>
          <w:p w:rsidR="00441283" w:rsidRDefault="00441283" w:rsidP="00DB6C5A">
            <w:pPr>
              <w:jc w:val="center"/>
            </w:pPr>
            <w:r>
              <w:t>39,328</w:t>
            </w:r>
          </w:p>
        </w:tc>
      </w:tr>
      <w:tr w:rsidR="00441283" w:rsidTr="00441283">
        <w:trPr>
          <w:trHeight w:val="312"/>
        </w:trPr>
        <w:tc>
          <w:tcPr>
            <w:tcW w:w="5010" w:type="dxa"/>
          </w:tcPr>
          <w:p w:rsidR="00441283" w:rsidRDefault="00441283" w:rsidP="00915295">
            <w:r>
              <w:t>Open Laboratories</w:t>
            </w:r>
          </w:p>
        </w:tc>
        <w:tc>
          <w:tcPr>
            <w:tcW w:w="1800" w:type="dxa"/>
          </w:tcPr>
          <w:p w:rsidR="00441283" w:rsidRDefault="00441283" w:rsidP="00DB6C5A">
            <w:pPr>
              <w:jc w:val="center"/>
            </w:pPr>
            <w:r>
              <w:t>127</w:t>
            </w:r>
          </w:p>
        </w:tc>
        <w:tc>
          <w:tcPr>
            <w:tcW w:w="2610" w:type="dxa"/>
          </w:tcPr>
          <w:p w:rsidR="00441283" w:rsidRDefault="00441283" w:rsidP="00DB6C5A">
            <w:pPr>
              <w:jc w:val="center"/>
            </w:pPr>
            <w:r>
              <w:t>58,088</w:t>
            </w:r>
          </w:p>
        </w:tc>
      </w:tr>
      <w:tr w:rsidR="00441283" w:rsidTr="00441283">
        <w:trPr>
          <w:trHeight w:val="312"/>
        </w:trPr>
        <w:tc>
          <w:tcPr>
            <w:tcW w:w="5010" w:type="dxa"/>
          </w:tcPr>
          <w:p w:rsidR="00441283" w:rsidRDefault="00441283" w:rsidP="00915295">
            <w:r>
              <w:t>Open Laboratory Service Areas</w:t>
            </w:r>
          </w:p>
        </w:tc>
        <w:tc>
          <w:tcPr>
            <w:tcW w:w="1800" w:type="dxa"/>
          </w:tcPr>
          <w:p w:rsidR="00441283" w:rsidRDefault="00441283" w:rsidP="00DB6C5A">
            <w:pPr>
              <w:jc w:val="center"/>
            </w:pPr>
            <w:r>
              <w:t>38</w:t>
            </w:r>
          </w:p>
        </w:tc>
        <w:tc>
          <w:tcPr>
            <w:tcW w:w="2610" w:type="dxa"/>
          </w:tcPr>
          <w:p w:rsidR="00441283" w:rsidRDefault="00FC7943" w:rsidP="00DB6C5A">
            <w:pPr>
              <w:jc w:val="center"/>
            </w:pPr>
            <w:r>
              <w:t>8,404</w:t>
            </w:r>
          </w:p>
        </w:tc>
      </w:tr>
    </w:tbl>
    <w:p w:rsidR="003618D1" w:rsidRDefault="003618D1" w:rsidP="003618D1">
      <w:pPr>
        <w:shd w:val="clear" w:color="auto" w:fill="FFFFFF"/>
        <w:spacing w:after="0" w:line="240" w:lineRule="auto"/>
        <w:rPr>
          <w:rFonts w:ascii="Arial" w:eastAsia="Times New Roman" w:hAnsi="Arial" w:cs="Arial"/>
          <w:color w:val="000000"/>
          <w:sz w:val="20"/>
          <w:szCs w:val="20"/>
        </w:rPr>
      </w:pPr>
      <w:r>
        <w:rPr>
          <w:rFonts w:ascii="Calibri" w:eastAsia="Times New Roman" w:hAnsi="Calibri" w:cs="Arial"/>
          <w:color w:val="1F497D"/>
        </w:rPr>
        <w:t> </w:t>
      </w:r>
    </w:p>
    <w:p w:rsidR="003618D1" w:rsidRDefault="00A62D0C" w:rsidP="00DB6C5A">
      <w:pPr>
        <w:rPr>
          <w:rFonts w:ascii="Arial" w:eastAsia="Times New Roman" w:hAnsi="Arial"/>
          <w:color w:val="000000"/>
          <w:sz w:val="20"/>
          <w:szCs w:val="20"/>
        </w:rPr>
      </w:pPr>
      <w:r>
        <w:rPr>
          <w:rFonts w:eastAsia="Times New Roman"/>
        </w:rPr>
        <w:t>Please note: “s</w:t>
      </w:r>
      <w:r w:rsidR="003618D1">
        <w:rPr>
          <w:rFonts w:eastAsia="Times New Roman"/>
        </w:rPr>
        <w:t>e</w:t>
      </w:r>
      <w:r w:rsidR="00CA5C16">
        <w:rPr>
          <w:rFonts w:eastAsia="Times New Roman"/>
        </w:rPr>
        <w:t>rvice” areas refer to</w:t>
      </w:r>
      <w:r w:rsidR="003618D1">
        <w:rPr>
          <w:rFonts w:eastAsia="Times New Roman"/>
        </w:rPr>
        <w:t xml:space="preserve"> storage areas, observation rooms, </w:t>
      </w:r>
      <w:r w:rsidR="00CA5C16">
        <w:rPr>
          <w:rFonts w:eastAsia="Times New Roman"/>
        </w:rPr>
        <w:t>prep areas, etc</w:t>
      </w:r>
      <w:r w:rsidR="003618D1">
        <w:rPr>
          <w:rFonts w:eastAsia="Times New Roman"/>
        </w:rPr>
        <w:t>. </w:t>
      </w:r>
    </w:p>
    <w:p w:rsidR="003618D1" w:rsidRDefault="003618D1" w:rsidP="003618D1">
      <w:pPr>
        <w:shd w:val="clear" w:color="auto" w:fill="FFFFFF"/>
        <w:spacing w:after="0" w:line="240" w:lineRule="auto"/>
        <w:rPr>
          <w:rFonts w:ascii="Arial" w:eastAsia="Times New Roman" w:hAnsi="Arial" w:cs="Arial"/>
          <w:color w:val="000000"/>
          <w:sz w:val="20"/>
          <w:szCs w:val="20"/>
        </w:rPr>
      </w:pPr>
      <w:r>
        <w:rPr>
          <w:rFonts w:ascii="Calibri" w:eastAsia="Times New Roman" w:hAnsi="Calibri" w:cs="Arial"/>
          <w:color w:val="1F497D"/>
        </w:rPr>
        <w:t> </w:t>
      </w:r>
    </w:p>
    <w:p w:rsidR="00FA765A" w:rsidRDefault="00FA765A" w:rsidP="00FA765A">
      <w:pPr>
        <w:rPr>
          <w:b/>
        </w:rPr>
      </w:pPr>
      <w:r>
        <w:rPr>
          <w:b/>
        </w:rPr>
        <w:lastRenderedPageBreak/>
        <w:t xml:space="preserve">Clinical </w:t>
      </w:r>
      <w:r w:rsidR="000E0886">
        <w:rPr>
          <w:b/>
        </w:rPr>
        <w:t>Sites</w:t>
      </w:r>
    </w:p>
    <w:p w:rsidR="00665660" w:rsidRDefault="00A62D0C" w:rsidP="00665660">
      <w:r>
        <w:t>The u</w:t>
      </w:r>
      <w:r w:rsidR="00665660">
        <w:t xml:space="preserve">niversity has two </w:t>
      </w:r>
      <w:r w:rsidR="006215D6">
        <w:t xml:space="preserve">on-site </w:t>
      </w:r>
      <w:r w:rsidR="00665660">
        <w:t xml:space="preserve">clinics—a psychology </w:t>
      </w:r>
      <w:r w:rsidR="00022AB0">
        <w:t xml:space="preserve">clinic </w:t>
      </w:r>
      <w:r w:rsidR="00665660">
        <w:t>and a speech and hearing clinic—</w:t>
      </w:r>
      <w:r w:rsidR="006215D6">
        <w:t xml:space="preserve">located </w:t>
      </w:r>
      <w:r w:rsidR="00665660">
        <w:t>on the Oxford campus.</w:t>
      </w:r>
      <w:r w:rsidR="006215D6">
        <w:t xml:space="preserve"> </w:t>
      </w:r>
      <w:r w:rsidR="00027969">
        <w:t xml:space="preserve">Several academic programs, such as microbiology, nursing, and psychology, also utilize clinical practice sites throughout the southwestern Ohio region. </w:t>
      </w:r>
      <w:r w:rsidR="00B30465">
        <w:t xml:space="preserve"> Clinic space is summarized below.</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0"/>
        <w:gridCol w:w="1800"/>
        <w:gridCol w:w="2610"/>
      </w:tblGrid>
      <w:tr w:rsidR="00FC7943" w:rsidRPr="00DB6C5A" w:rsidTr="00442009">
        <w:trPr>
          <w:trHeight w:val="312"/>
        </w:trPr>
        <w:tc>
          <w:tcPr>
            <w:tcW w:w="5010" w:type="dxa"/>
          </w:tcPr>
          <w:p w:rsidR="00FC7943" w:rsidRPr="00DB6C5A" w:rsidRDefault="00FC7943" w:rsidP="00DB6C5A">
            <w:pPr>
              <w:jc w:val="center"/>
              <w:rPr>
                <w:b/>
              </w:rPr>
            </w:pPr>
            <w:r w:rsidRPr="00DB6C5A">
              <w:rPr>
                <w:b/>
              </w:rPr>
              <w:t>Type of Space</w:t>
            </w:r>
          </w:p>
        </w:tc>
        <w:tc>
          <w:tcPr>
            <w:tcW w:w="1800" w:type="dxa"/>
          </w:tcPr>
          <w:p w:rsidR="00FC7943" w:rsidRPr="00DB6C5A" w:rsidRDefault="00FC7943" w:rsidP="00DB6C5A">
            <w:pPr>
              <w:jc w:val="center"/>
              <w:rPr>
                <w:b/>
              </w:rPr>
            </w:pPr>
            <w:r w:rsidRPr="00DB6C5A">
              <w:rPr>
                <w:b/>
              </w:rPr>
              <w:t>Total Number</w:t>
            </w:r>
          </w:p>
        </w:tc>
        <w:tc>
          <w:tcPr>
            <w:tcW w:w="2610" w:type="dxa"/>
          </w:tcPr>
          <w:p w:rsidR="00FC7943" w:rsidRPr="00DB6C5A" w:rsidRDefault="00FC7943" w:rsidP="00DB6C5A">
            <w:pPr>
              <w:jc w:val="center"/>
              <w:rPr>
                <w:b/>
              </w:rPr>
            </w:pPr>
            <w:r w:rsidRPr="00DB6C5A">
              <w:rPr>
                <w:b/>
              </w:rPr>
              <w:t>Total Net Square Feet</w:t>
            </w:r>
          </w:p>
        </w:tc>
      </w:tr>
      <w:tr w:rsidR="00FC7943" w:rsidTr="00442009">
        <w:trPr>
          <w:trHeight w:val="312"/>
        </w:trPr>
        <w:tc>
          <w:tcPr>
            <w:tcW w:w="5010" w:type="dxa"/>
          </w:tcPr>
          <w:p w:rsidR="00FC7943" w:rsidRDefault="00FC7943" w:rsidP="00442009">
            <w:r>
              <w:t>Clinic Areas</w:t>
            </w:r>
          </w:p>
        </w:tc>
        <w:tc>
          <w:tcPr>
            <w:tcW w:w="1800" w:type="dxa"/>
          </w:tcPr>
          <w:p w:rsidR="00FC7943" w:rsidRDefault="00FC7943" w:rsidP="00DB6C5A">
            <w:pPr>
              <w:jc w:val="center"/>
            </w:pPr>
            <w:r>
              <w:t>28</w:t>
            </w:r>
          </w:p>
        </w:tc>
        <w:tc>
          <w:tcPr>
            <w:tcW w:w="2610" w:type="dxa"/>
          </w:tcPr>
          <w:p w:rsidR="00FC7943" w:rsidRDefault="00FC7943" w:rsidP="00DB6C5A">
            <w:pPr>
              <w:jc w:val="center"/>
            </w:pPr>
            <w:r>
              <w:t>3,071</w:t>
            </w:r>
          </w:p>
        </w:tc>
      </w:tr>
      <w:tr w:rsidR="00FC7943" w:rsidTr="00442009">
        <w:trPr>
          <w:trHeight w:val="312"/>
        </w:trPr>
        <w:tc>
          <w:tcPr>
            <w:tcW w:w="5010" w:type="dxa"/>
          </w:tcPr>
          <w:p w:rsidR="00FC7943" w:rsidRDefault="00FC7943" w:rsidP="00442009">
            <w:r>
              <w:t>Clinic Service Areas</w:t>
            </w:r>
          </w:p>
        </w:tc>
        <w:tc>
          <w:tcPr>
            <w:tcW w:w="1800" w:type="dxa"/>
          </w:tcPr>
          <w:p w:rsidR="00FC7943" w:rsidRDefault="00FC7943" w:rsidP="00DB6C5A">
            <w:pPr>
              <w:jc w:val="center"/>
            </w:pPr>
            <w:r>
              <w:t>14</w:t>
            </w:r>
          </w:p>
        </w:tc>
        <w:tc>
          <w:tcPr>
            <w:tcW w:w="2610" w:type="dxa"/>
          </w:tcPr>
          <w:p w:rsidR="00FC7943" w:rsidRDefault="00FC7943" w:rsidP="00DB6C5A">
            <w:pPr>
              <w:jc w:val="center"/>
            </w:pPr>
            <w:r>
              <w:t>2,124</w:t>
            </w:r>
          </w:p>
        </w:tc>
      </w:tr>
    </w:tbl>
    <w:p w:rsidR="00CA5C16" w:rsidRDefault="00CA5C16" w:rsidP="00963649"/>
    <w:p w:rsidR="0079105B" w:rsidRDefault="00EE1041" w:rsidP="00963649">
      <w:r w:rsidRPr="0079105B">
        <w:t>Miami features an art museum</w:t>
      </w:r>
      <w:r w:rsidR="00C12490" w:rsidRPr="0079105B">
        <w:t xml:space="preserve"> which is accredited by the American Alliance of Museums and features a sculpture park, five gallery spaces, and approximately 17,000 works; McGuffey Museum whose mission is to exhibit materials relating to life of William Holmes McGuffey, the McGuffey Eclectic Reader series</w:t>
      </w:r>
      <w:r w:rsidR="00A62D0C">
        <w:t>,</w:t>
      </w:r>
      <w:r w:rsidR="00C12490" w:rsidRPr="0079105B">
        <w:t xml:space="preserve"> and the history of Miami University; </w:t>
      </w:r>
      <w:r w:rsidR="00886FAD" w:rsidRPr="0079105B">
        <w:t>the Limper Geology Museum which presents context- and specimen-rich displays centered on fundamental aspects of geology (and other natural sciences) that connect to and transcend the classroom environment;</w:t>
      </w:r>
      <w:r w:rsidR="00A62D0C">
        <w:t xml:space="preserve"> and</w:t>
      </w:r>
      <w:r w:rsidR="00886FAD" w:rsidRPr="0079105B">
        <w:t xml:space="preserve"> the Hefner Museum of Natural History</w:t>
      </w:r>
      <w:r w:rsidR="0079105B" w:rsidRPr="0079105B">
        <w:t xml:space="preserve"> which is dedicated to promoting an understanding of, and appreciation for, nature and the human place in it</w:t>
      </w:r>
      <w:r w:rsidR="00022AB0">
        <w:t xml:space="preserve"> for K-12 students</w:t>
      </w:r>
      <w:r w:rsidR="0079105B" w:rsidRPr="0079105B">
        <w:t>.</w:t>
      </w:r>
    </w:p>
    <w:p w:rsidR="00032BFD" w:rsidRDefault="00A62D0C" w:rsidP="008D576B">
      <w:r>
        <w:t>The u</w:t>
      </w:r>
      <w:r w:rsidR="008D576B">
        <w:t xml:space="preserve">niversity also has two galleries: the Hiestand Galleries </w:t>
      </w:r>
      <w:r w:rsidR="00032BFD">
        <w:t>exhibit works by students, alumni, faculty, and artists on the national and international scale</w:t>
      </w:r>
      <w:r w:rsidR="008D576B">
        <w:t xml:space="preserve">; and the Cage Gallery, which </w:t>
      </w:r>
      <w:r w:rsidR="00032BFD">
        <w:t>provides ongoing exhibits of professional as well as st</w:t>
      </w:r>
      <w:r>
        <w:t>udent work within a</w:t>
      </w:r>
      <w:r w:rsidR="008D576B">
        <w:t>rchitecture and</w:t>
      </w:r>
      <w:r>
        <w:t xml:space="preserve"> interior d</w:t>
      </w:r>
      <w:r w:rsidR="00032BFD">
        <w:t>esign.</w:t>
      </w:r>
    </w:p>
    <w:p w:rsidR="008E2183" w:rsidRDefault="008D576B" w:rsidP="00963649">
      <w:r>
        <w:t xml:space="preserve">In addition, Miami </w:t>
      </w:r>
      <w:r w:rsidR="008E2183">
        <w:t>has exhibit spaces in several buildings across various campuses, includin</w:t>
      </w:r>
      <w:r w:rsidR="00032BFD">
        <w:t xml:space="preserve">g </w:t>
      </w:r>
      <w:r w:rsidR="008E2183">
        <w:t xml:space="preserve">MacMillan Hall, </w:t>
      </w:r>
      <w:r w:rsidR="00645D27">
        <w:t xml:space="preserve">Voice of America Learning Center, King Library, </w:t>
      </w:r>
      <w:r w:rsidR="00B77364">
        <w:t xml:space="preserve">and </w:t>
      </w:r>
      <w:r w:rsidR="00645D27">
        <w:t>Alumni Hall</w:t>
      </w:r>
      <w:r w:rsidR="00B77364">
        <w:t>.</w:t>
      </w:r>
    </w:p>
    <w:p w:rsidR="00303042" w:rsidRDefault="00303042" w:rsidP="00963649">
      <w:r>
        <w:t>Exhibition space is summarized below.</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0"/>
        <w:gridCol w:w="1800"/>
        <w:gridCol w:w="2610"/>
      </w:tblGrid>
      <w:tr w:rsidR="00FC7943" w:rsidRPr="00DB6C5A" w:rsidTr="00442009">
        <w:trPr>
          <w:trHeight w:val="312"/>
        </w:trPr>
        <w:tc>
          <w:tcPr>
            <w:tcW w:w="5010" w:type="dxa"/>
          </w:tcPr>
          <w:p w:rsidR="00FC7943" w:rsidRPr="00DB6C5A" w:rsidRDefault="00FC7943" w:rsidP="00DB6C5A">
            <w:pPr>
              <w:jc w:val="center"/>
              <w:rPr>
                <w:b/>
              </w:rPr>
            </w:pPr>
            <w:r w:rsidRPr="00DB6C5A">
              <w:rPr>
                <w:b/>
              </w:rPr>
              <w:t>Type of Space</w:t>
            </w:r>
          </w:p>
        </w:tc>
        <w:tc>
          <w:tcPr>
            <w:tcW w:w="1800" w:type="dxa"/>
          </w:tcPr>
          <w:p w:rsidR="00FC7943" w:rsidRPr="00DB6C5A" w:rsidRDefault="00FC7943" w:rsidP="00DB6C5A">
            <w:pPr>
              <w:jc w:val="center"/>
              <w:rPr>
                <w:b/>
              </w:rPr>
            </w:pPr>
            <w:r w:rsidRPr="00DB6C5A">
              <w:rPr>
                <w:b/>
              </w:rPr>
              <w:t>Total Number</w:t>
            </w:r>
          </w:p>
        </w:tc>
        <w:tc>
          <w:tcPr>
            <w:tcW w:w="2610" w:type="dxa"/>
          </w:tcPr>
          <w:p w:rsidR="00FC7943" w:rsidRPr="00DB6C5A" w:rsidRDefault="00FC7943" w:rsidP="00DB6C5A">
            <w:pPr>
              <w:jc w:val="center"/>
              <w:rPr>
                <w:b/>
              </w:rPr>
            </w:pPr>
            <w:r w:rsidRPr="00DB6C5A">
              <w:rPr>
                <w:b/>
              </w:rPr>
              <w:t>Total Net Square Feet</w:t>
            </w:r>
          </w:p>
        </w:tc>
      </w:tr>
      <w:tr w:rsidR="00FC7943" w:rsidTr="00442009">
        <w:trPr>
          <w:trHeight w:val="312"/>
        </w:trPr>
        <w:tc>
          <w:tcPr>
            <w:tcW w:w="5010" w:type="dxa"/>
          </w:tcPr>
          <w:p w:rsidR="00FC7943" w:rsidRDefault="00FC7943" w:rsidP="00442009">
            <w:r>
              <w:t>Exhibition Areas</w:t>
            </w:r>
          </w:p>
        </w:tc>
        <w:tc>
          <w:tcPr>
            <w:tcW w:w="1800" w:type="dxa"/>
          </w:tcPr>
          <w:p w:rsidR="00FC7943" w:rsidRDefault="00FC7943" w:rsidP="00DB6C5A">
            <w:pPr>
              <w:jc w:val="center"/>
            </w:pPr>
            <w:r>
              <w:t>25</w:t>
            </w:r>
          </w:p>
        </w:tc>
        <w:tc>
          <w:tcPr>
            <w:tcW w:w="2610" w:type="dxa"/>
          </w:tcPr>
          <w:p w:rsidR="00FC7943" w:rsidRDefault="00FC7943" w:rsidP="00DB6C5A">
            <w:pPr>
              <w:jc w:val="center"/>
            </w:pPr>
            <w:r>
              <w:t>17,861</w:t>
            </w:r>
          </w:p>
        </w:tc>
      </w:tr>
      <w:tr w:rsidR="00FC7943" w:rsidTr="00442009">
        <w:trPr>
          <w:trHeight w:val="312"/>
        </w:trPr>
        <w:tc>
          <w:tcPr>
            <w:tcW w:w="5010" w:type="dxa"/>
          </w:tcPr>
          <w:p w:rsidR="00FC7943" w:rsidRDefault="00FC7943" w:rsidP="00442009">
            <w:r>
              <w:t>Exhibition Service Areas</w:t>
            </w:r>
          </w:p>
        </w:tc>
        <w:tc>
          <w:tcPr>
            <w:tcW w:w="1800" w:type="dxa"/>
          </w:tcPr>
          <w:p w:rsidR="00FC7943" w:rsidRDefault="00FC7943" w:rsidP="00DB6C5A">
            <w:pPr>
              <w:jc w:val="center"/>
            </w:pPr>
            <w:r>
              <w:t>25</w:t>
            </w:r>
          </w:p>
        </w:tc>
        <w:tc>
          <w:tcPr>
            <w:tcW w:w="2610" w:type="dxa"/>
          </w:tcPr>
          <w:p w:rsidR="00FC7943" w:rsidRDefault="00DB6C5A" w:rsidP="00DB6C5A">
            <w:pPr>
              <w:jc w:val="center"/>
            </w:pPr>
            <w:r>
              <w:t>12,308</w:t>
            </w:r>
          </w:p>
        </w:tc>
      </w:tr>
    </w:tbl>
    <w:p w:rsidR="00DB6C5A" w:rsidRDefault="00DB6C5A" w:rsidP="00FA765A">
      <w:pPr>
        <w:rPr>
          <w:rFonts w:ascii="Calibri" w:eastAsia="Times New Roman" w:hAnsi="Calibri" w:cs="Arial"/>
          <w:color w:val="1F497D"/>
        </w:rPr>
      </w:pPr>
    </w:p>
    <w:p w:rsidR="007B0551" w:rsidRPr="007B0551" w:rsidRDefault="007B0551" w:rsidP="00303042">
      <w:r w:rsidRPr="007B0551">
        <w:t xml:space="preserve">Miami has a range of performance and production spaces on the Oxford and regional campuses, including: </w:t>
      </w:r>
    </w:p>
    <w:p w:rsidR="00C737C9" w:rsidRPr="00852FA1" w:rsidRDefault="00144D86" w:rsidP="00F5054C">
      <w:pPr>
        <w:pStyle w:val="NoSpacing"/>
        <w:numPr>
          <w:ilvl w:val="0"/>
          <w:numId w:val="72"/>
        </w:numPr>
      </w:pPr>
      <w:r w:rsidRPr="00852FA1">
        <w:t xml:space="preserve">Wilks Auditorium which </w:t>
      </w:r>
      <w:r w:rsidR="00C737C9" w:rsidRPr="00852FA1">
        <w:t xml:space="preserve">is an </w:t>
      </w:r>
      <w:r w:rsidRPr="00852FA1">
        <w:t>el</w:t>
      </w:r>
      <w:r w:rsidR="00A62D0C" w:rsidRPr="00852FA1">
        <w:t>egant, 500-seat theatre featur</w:t>
      </w:r>
      <w:r w:rsidR="00C737C9" w:rsidRPr="00852FA1">
        <w:t>ing</w:t>
      </w:r>
      <w:r w:rsidRPr="00852FA1">
        <w:t xml:space="preserve"> a balcony level and is perfectly suited, with its state-of-the art sound and video systems, to host on-campus movies, as well as artistic talent from both select students and professionals. </w:t>
      </w:r>
    </w:p>
    <w:p w:rsidR="00BF3390" w:rsidRPr="00852FA1" w:rsidRDefault="007B0551" w:rsidP="00F5054C">
      <w:pPr>
        <w:pStyle w:val="NoSpacing"/>
        <w:numPr>
          <w:ilvl w:val="0"/>
          <w:numId w:val="72"/>
        </w:numPr>
      </w:pPr>
      <w:r w:rsidRPr="00852FA1">
        <w:t xml:space="preserve">Center for Performing Arts which houses most of the production facilities and was opened in the fall of 1969; </w:t>
      </w:r>
    </w:p>
    <w:p w:rsidR="00BF3390" w:rsidRPr="00852FA1" w:rsidRDefault="007B0551" w:rsidP="00F5054C">
      <w:pPr>
        <w:pStyle w:val="NoSpacing"/>
        <w:numPr>
          <w:ilvl w:val="0"/>
          <w:numId w:val="72"/>
        </w:numPr>
      </w:pPr>
      <w:r w:rsidRPr="00852FA1">
        <w:t xml:space="preserve">Gates-Abegglen Theatre  which is </w:t>
      </w:r>
      <w:r w:rsidR="00B77364" w:rsidRPr="00852FA1">
        <w:t>a traditional proscenium</w:t>
      </w:r>
      <w:r w:rsidRPr="00852FA1">
        <w:t xml:space="preserve"> theatre that seats 385 patrons and is equipped with</w:t>
      </w:r>
      <w:r w:rsidR="00B77364" w:rsidRPr="00852FA1">
        <w:t xml:space="preserve"> a 35 line fly system, hydraulic pit lift</w:t>
      </w:r>
      <w:r w:rsidRPr="00852FA1">
        <w:t>, modest wing space, and a</w:t>
      </w:r>
      <w:r w:rsidR="00B77364" w:rsidRPr="00852FA1">
        <w:t> Strand 520i l</w:t>
      </w:r>
      <w:r w:rsidR="00BF3390" w:rsidRPr="00852FA1">
        <w:t xml:space="preserve">ight board; </w:t>
      </w:r>
    </w:p>
    <w:p w:rsidR="00032BFD" w:rsidRPr="00852FA1" w:rsidRDefault="00BF3390" w:rsidP="00F5054C">
      <w:pPr>
        <w:pStyle w:val="NoSpacing"/>
        <w:numPr>
          <w:ilvl w:val="0"/>
          <w:numId w:val="72"/>
        </w:numPr>
      </w:pPr>
      <w:r w:rsidRPr="00852FA1">
        <w:t xml:space="preserve">Sidney W. Souers Recital Hall which is a 150-seat hall and </w:t>
      </w:r>
      <w:r w:rsidR="00032BFD" w:rsidRPr="00852FA1">
        <w:t>provides an intimate performance space</w:t>
      </w:r>
      <w:r w:rsidR="00DC2B13" w:rsidRPr="00852FA1">
        <w:t xml:space="preserve"> with </w:t>
      </w:r>
      <w:r w:rsidR="00AB1AC8" w:rsidRPr="00852FA1">
        <w:t xml:space="preserve">a </w:t>
      </w:r>
      <w:r w:rsidR="00DC2B13" w:rsidRPr="00852FA1">
        <w:t>green room</w:t>
      </w:r>
      <w:r w:rsidR="00032BFD" w:rsidRPr="00852FA1">
        <w:t xml:space="preserve"> for the presentation of recitals</w:t>
      </w:r>
      <w:r w:rsidRPr="00852FA1">
        <w:t xml:space="preserve"> and chambe</w:t>
      </w:r>
      <w:r w:rsidR="00AB1AC8" w:rsidRPr="00852FA1">
        <w:t>r ensemble concerts and</w:t>
      </w:r>
      <w:r w:rsidRPr="00852FA1">
        <w:t xml:space="preserve"> </w:t>
      </w:r>
      <w:r w:rsidR="00032BFD" w:rsidRPr="00852FA1">
        <w:t>adjacent</w:t>
      </w:r>
      <w:r w:rsidR="00994C1F" w:rsidRPr="00852FA1">
        <w:t xml:space="preserve"> audio and recording facilities;</w:t>
      </w:r>
    </w:p>
    <w:p w:rsidR="00032BFD" w:rsidRPr="00852FA1" w:rsidRDefault="00994C1F" w:rsidP="00F5054C">
      <w:pPr>
        <w:pStyle w:val="NoSpacing"/>
        <w:numPr>
          <w:ilvl w:val="0"/>
          <w:numId w:val="72"/>
        </w:numPr>
      </w:pPr>
      <w:r w:rsidRPr="00852FA1">
        <w:lastRenderedPageBreak/>
        <w:t>Hall Auditorium which was c</w:t>
      </w:r>
      <w:r w:rsidR="00DC2B13" w:rsidRPr="00852FA1">
        <w:t xml:space="preserve">ompletely renovated in 1992, </w:t>
      </w:r>
      <w:r w:rsidRPr="00852FA1">
        <w:t>has a seating capacity of 735</w:t>
      </w:r>
      <w:r w:rsidR="00DC2B13" w:rsidRPr="00852FA1">
        <w:t>,</w:t>
      </w:r>
      <w:r w:rsidRPr="00852FA1">
        <w:t xml:space="preserve"> and is the site of the m</w:t>
      </w:r>
      <w:r w:rsidR="00032BFD" w:rsidRPr="00852FA1">
        <w:t>usic department's major concerts, as well as many concerts produced and supported by the univ</w:t>
      </w:r>
      <w:r w:rsidR="00AB1AC8" w:rsidRPr="00852FA1">
        <w:t>ersity's performing arts s</w:t>
      </w:r>
      <w:r w:rsidRPr="00852FA1">
        <w:t>eries</w:t>
      </w:r>
      <w:r w:rsidR="00AB1AC8" w:rsidRPr="00852FA1">
        <w:t xml:space="preserve"> and lecture s</w:t>
      </w:r>
      <w:r w:rsidR="00022AB0" w:rsidRPr="00852FA1">
        <w:t>eries</w:t>
      </w:r>
      <w:r w:rsidRPr="00852FA1">
        <w:t>;</w:t>
      </w:r>
    </w:p>
    <w:p w:rsidR="00032BFD" w:rsidRPr="00852FA1" w:rsidRDefault="00DB6C5A" w:rsidP="00F5054C">
      <w:pPr>
        <w:pStyle w:val="NoSpacing"/>
        <w:numPr>
          <w:ilvl w:val="0"/>
          <w:numId w:val="72"/>
        </w:numPr>
      </w:pPr>
      <w:r w:rsidRPr="00852FA1">
        <w:t>Millett Hall which was built</w:t>
      </w:r>
      <w:r w:rsidR="00994C1F" w:rsidRPr="00852FA1">
        <w:t xml:space="preserve"> in the early 1970s and can </w:t>
      </w:r>
      <w:r w:rsidR="00032BFD" w:rsidRPr="00852FA1">
        <w:t>vary from 2,900 seats to 10,857 for full concerts.</w:t>
      </w:r>
    </w:p>
    <w:p w:rsidR="00B77364" w:rsidRDefault="00994C1F" w:rsidP="00F5054C">
      <w:pPr>
        <w:pStyle w:val="NoSpacing"/>
        <w:numPr>
          <w:ilvl w:val="0"/>
          <w:numId w:val="72"/>
        </w:numPr>
      </w:pPr>
      <w:r w:rsidRPr="00852FA1">
        <w:t xml:space="preserve">W. Paul Zimmerman Experimental Theatre (Studio 88) which is the home of the </w:t>
      </w:r>
      <w:r w:rsidR="00B77364" w:rsidRPr="00852FA1">
        <w:rPr>
          <w:rStyle w:val="Strong"/>
          <w:b w:val="0"/>
          <w:bCs w:val="0"/>
        </w:rPr>
        <w:t>SecondStage Season</w:t>
      </w:r>
      <w:r w:rsidR="00196970" w:rsidRPr="00852FA1">
        <w:t xml:space="preserve"> (student-generated productions), has a flexible seating arrangement, and can accommodate 115 patrons.  A 2005 renovation included new </w:t>
      </w:r>
      <w:r w:rsidR="00B77364" w:rsidRPr="00852FA1">
        <w:rPr>
          <w:rStyle w:val="Strong"/>
          <w:b w:val="0"/>
          <w:bCs w:val="0"/>
        </w:rPr>
        <w:t>seating, new audience risers</w:t>
      </w:r>
      <w:r w:rsidR="00DC2B13" w:rsidRPr="00852FA1">
        <w:rPr>
          <w:rStyle w:val="Strong"/>
          <w:b w:val="0"/>
          <w:bCs w:val="0"/>
        </w:rPr>
        <w:t>,</w:t>
      </w:r>
      <w:r w:rsidR="00B77364" w:rsidRPr="00852FA1">
        <w:t xml:space="preserve"> installation of an</w:t>
      </w:r>
      <w:r w:rsidR="00B77364" w:rsidRPr="00852FA1">
        <w:rPr>
          <w:rStyle w:val="apple-converted-space"/>
        </w:rPr>
        <w:t> </w:t>
      </w:r>
      <w:r w:rsidR="00B77364" w:rsidRPr="00852FA1">
        <w:rPr>
          <w:rStyle w:val="Strong"/>
          <w:b w:val="0"/>
          <w:bCs w:val="0"/>
        </w:rPr>
        <w:t>ADA compliant</w:t>
      </w:r>
      <w:r w:rsidR="00B77364" w:rsidRPr="00852FA1">
        <w:rPr>
          <w:rStyle w:val="apple-converted-space"/>
        </w:rPr>
        <w:t> </w:t>
      </w:r>
      <w:r w:rsidR="004F7094" w:rsidRPr="00852FA1">
        <w:t>wheelchair ramp, and</w:t>
      </w:r>
      <w:r w:rsidR="00B77364" w:rsidRPr="00852FA1">
        <w:t xml:space="preserve"> a</w:t>
      </w:r>
      <w:r w:rsidR="00B77364" w:rsidRPr="00852FA1">
        <w:rPr>
          <w:rStyle w:val="apple-converted-space"/>
        </w:rPr>
        <w:t> </w:t>
      </w:r>
      <w:r w:rsidR="00B77364" w:rsidRPr="00852FA1">
        <w:rPr>
          <w:rStyle w:val="Strong"/>
          <w:b w:val="0"/>
          <w:bCs w:val="0"/>
        </w:rPr>
        <w:t>new ETC Express 48/96</w:t>
      </w:r>
      <w:r w:rsidR="00B77364" w:rsidRPr="00852FA1">
        <w:rPr>
          <w:rStyle w:val="apple-converted-space"/>
        </w:rPr>
        <w:t> </w:t>
      </w:r>
      <w:r w:rsidR="00B77364" w:rsidRPr="00852FA1">
        <w:t>light board.</w:t>
      </w:r>
    </w:p>
    <w:p w:rsidR="00852FA1" w:rsidRPr="00852FA1" w:rsidRDefault="00852FA1" w:rsidP="00852FA1">
      <w:pPr>
        <w:pStyle w:val="NoSpacing"/>
        <w:ind w:left="720"/>
      </w:pPr>
    </w:p>
    <w:p w:rsidR="004E5333" w:rsidRPr="00EF494A" w:rsidRDefault="00C737C9" w:rsidP="00EF494A">
      <w:r>
        <w:t>S</w:t>
      </w:r>
      <w:r w:rsidR="00EF494A">
        <w:t>teps that need to be taken relating to this criterion include:</w:t>
      </w:r>
    </w:p>
    <w:p w:rsidR="004E5333" w:rsidRPr="00EF494A" w:rsidRDefault="00EF494A" w:rsidP="00F5054C">
      <w:pPr>
        <w:pStyle w:val="NoSpacing"/>
        <w:numPr>
          <w:ilvl w:val="0"/>
          <w:numId w:val="73"/>
        </w:numPr>
      </w:pPr>
      <w:r w:rsidRPr="00EF494A">
        <w:t>Ensuring that all academic advisors receive appropriate training</w:t>
      </w:r>
      <w:r w:rsidR="004E5333" w:rsidRPr="00EF494A">
        <w:t xml:space="preserve">, and </w:t>
      </w:r>
      <w:r w:rsidRPr="00EF494A">
        <w:t xml:space="preserve">implementing the plans for </w:t>
      </w:r>
      <w:r w:rsidR="004E5333" w:rsidRPr="00EF494A">
        <w:t>assessing advising efforts more purposefully for improvement</w:t>
      </w:r>
      <w:r w:rsidR="00DC2B13">
        <w:t>;</w:t>
      </w:r>
    </w:p>
    <w:p w:rsidR="00EF494A" w:rsidRDefault="00EF494A" w:rsidP="00F5054C">
      <w:pPr>
        <w:pStyle w:val="NoSpacing"/>
        <w:numPr>
          <w:ilvl w:val="0"/>
          <w:numId w:val="73"/>
        </w:numPr>
      </w:pPr>
      <w:r>
        <w:t>Continuing to enhance</w:t>
      </w:r>
      <w:r w:rsidR="00786877" w:rsidRPr="00EF494A">
        <w:t xml:space="preserve"> support for international students</w:t>
      </w:r>
      <w:r w:rsidR="00DC2B13">
        <w:t>;</w:t>
      </w:r>
    </w:p>
    <w:p w:rsidR="0062441B" w:rsidRPr="00EF494A" w:rsidRDefault="004E5333" w:rsidP="00F5054C">
      <w:pPr>
        <w:pStyle w:val="NoSpacing"/>
        <w:numPr>
          <w:ilvl w:val="0"/>
          <w:numId w:val="73"/>
        </w:numPr>
      </w:pPr>
      <w:r w:rsidRPr="00EF494A">
        <w:t>Improving IT support</w:t>
      </w:r>
      <w:r w:rsidR="00EF494A">
        <w:t xml:space="preserve"> for teaching and research efforts</w:t>
      </w:r>
      <w:r w:rsidR="00DC2B13">
        <w:t>;</w:t>
      </w:r>
    </w:p>
    <w:p w:rsidR="00EF494A" w:rsidRDefault="004E5333" w:rsidP="00F5054C">
      <w:pPr>
        <w:pStyle w:val="NoSpacing"/>
        <w:numPr>
          <w:ilvl w:val="0"/>
          <w:numId w:val="73"/>
        </w:numPr>
      </w:pPr>
      <w:r w:rsidRPr="00EF494A">
        <w:t xml:space="preserve">Improving </w:t>
      </w:r>
      <w:r w:rsidR="00251AEB" w:rsidRPr="00EF494A">
        <w:t xml:space="preserve">engineering and </w:t>
      </w:r>
      <w:r w:rsidRPr="00EF494A">
        <w:t>science lab</w:t>
      </w:r>
      <w:r w:rsidR="00EF494A">
        <w:t>oratories</w:t>
      </w:r>
      <w:r w:rsidR="00DC2B13">
        <w:t>;</w:t>
      </w:r>
    </w:p>
    <w:p w:rsidR="004E5333" w:rsidRPr="00EF494A" w:rsidRDefault="00EF494A" w:rsidP="00F5054C">
      <w:pPr>
        <w:pStyle w:val="NoSpacing"/>
        <w:numPr>
          <w:ilvl w:val="0"/>
          <w:numId w:val="73"/>
        </w:numPr>
      </w:pPr>
      <w:r>
        <w:t xml:space="preserve">Enhancing and expanding creative </w:t>
      </w:r>
      <w:r w:rsidR="004E5333" w:rsidRPr="00EF494A">
        <w:t>performance spaces</w:t>
      </w:r>
      <w:r>
        <w:t>.</w:t>
      </w:r>
    </w:p>
    <w:p w:rsidR="004E5333" w:rsidRDefault="004E5333" w:rsidP="004E5333">
      <w:pPr>
        <w:pStyle w:val="Heading2"/>
      </w:pPr>
      <w:r>
        <w:t>Sources</w:t>
      </w:r>
    </w:p>
    <w:p w:rsidR="006C6B31" w:rsidRPr="004646F8" w:rsidRDefault="006C6B31" w:rsidP="00EE1041">
      <w:pPr>
        <w:pStyle w:val="NoSpacing"/>
        <w:numPr>
          <w:ilvl w:val="0"/>
          <w:numId w:val="7"/>
        </w:numPr>
        <w:ind w:left="252" w:hanging="252"/>
        <w:rPr>
          <w:sz w:val="20"/>
          <w:szCs w:val="20"/>
        </w:rPr>
      </w:pPr>
      <w:r w:rsidRPr="004646F8">
        <w:rPr>
          <w:sz w:val="20"/>
          <w:szCs w:val="20"/>
        </w:rPr>
        <w:t xml:space="preserve">Master Plan developed in 2007 - </w:t>
      </w:r>
      <w:hyperlink r:id="rId39" w:history="1">
        <w:r w:rsidRPr="004646F8">
          <w:rPr>
            <w:rStyle w:val="Hyperlink"/>
            <w:sz w:val="20"/>
            <w:szCs w:val="20"/>
          </w:rPr>
          <w:t>http://www.pfd.muohio.edu/about_pfd/pdf/capitalImprovement07.pdf</w:t>
        </w:r>
      </w:hyperlink>
    </w:p>
    <w:p w:rsidR="004E5333" w:rsidRPr="004646F8" w:rsidRDefault="004E5333" w:rsidP="00072109">
      <w:pPr>
        <w:pStyle w:val="NoSpacing"/>
        <w:numPr>
          <w:ilvl w:val="0"/>
          <w:numId w:val="7"/>
        </w:numPr>
        <w:ind w:left="252" w:hanging="252"/>
        <w:rPr>
          <w:sz w:val="20"/>
          <w:szCs w:val="20"/>
        </w:rPr>
      </w:pPr>
      <w:r w:rsidRPr="004646F8">
        <w:rPr>
          <w:sz w:val="20"/>
          <w:szCs w:val="20"/>
        </w:rPr>
        <w:t>Placement policies and procedures; dev</w:t>
      </w:r>
      <w:r w:rsidR="00A96B27" w:rsidRPr="004646F8">
        <w:rPr>
          <w:sz w:val="20"/>
          <w:szCs w:val="20"/>
        </w:rPr>
        <w:t>elopmental course offerings—General Bulletin</w:t>
      </w:r>
    </w:p>
    <w:p w:rsidR="004E5333" w:rsidRDefault="004E5333" w:rsidP="00072109">
      <w:pPr>
        <w:pStyle w:val="NoSpacing"/>
        <w:numPr>
          <w:ilvl w:val="0"/>
          <w:numId w:val="7"/>
        </w:numPr>
        <w:ind w:left="252" w:hanging="252"/>
        <w:rPr>
          <w:sz w:val="20"/>
          <w:szCs w:val="20"/>
        </w:rPr>
      </w:pPr>
      <w:r w:rsidRPr="004646F8">
        <w:rPr>
          <w:sz w:val="20"/>
          <w:szCs w:val="20"/>
        </w:rPr>
        <w:t>Summer O</w:t>
      </w:r>
      <w:r w:rsidR="00B45A47" w:rsidRPr="004646F8">
        <w:rPr>
          <w:sz w:val="20"/>
          <w:szCs w:val="20"/>
        </w:rPr>
        <w:t>rientation schedule, description on website; annual report of New Student Programs</w:t>
      </w:r>
    </w:p>
    <w:p w:rsidR="00901054" w:rsidRDefault="00901054" w:rsidP="00072109">
      <w:pPr>
        <w:pStyle w:val="NoSpacing"/>
        <w:numPr>
          <w:ilvl w:val="0"/>
          <w:numId w:val="7"/>
        </w:numPr>
        <w:ind w:left="252" w:hanging="252"/>
        <w:rPr>
          <w:sz w:val="20"/>
          <w:szCs w:val="20"/>
        </w:rPr>
      </w:pPr>
      <w:r>
        <w:rPr>
          <w:sz w:val="20"/>
          <w:szCs w:val="20"/>
        </w:rPr>
        <w:t>SOAR schedule (regionals)</w:t>
      </w:r>
    </w:p>
    <w:p w:rsidR="00901054" w:rsidRDefault="00901054" w:rsidP="00072109">
      <w:pPr>
        <w:pStyle w:val="NoSpacing"/>
        <w:numPr>
          <w:ilvl w:val="0"/>
          <w:numId w:val="7"/>
        </w:numPr>
        <w:ind w:left="252" w:hanging="252"/>
        <w:rPr>
          <w:sz w:val="20"/>
          <w:szCs w:val="20"/>
        </w:rPr>
      </w:pPr>
      <w:r>
        <w:rPr>
          <w:sz w:val="20"/>
          <w:szCs w:val="20"/>
        </w:rPr>
        <w:t>Info on alcohol, Title IX online module</w:t>
      </w:r>
    </w:p>
    <w:p w:rsidR="00901054" w:rsidRDefault="00901054" w:rsidP="00072109">
      <w:pPr>
        <w:pStyle w:val="NoSpacing"/>
        <w:numPr>
          <w:ilvl w:val="0"/>
          <w:numId w:val="7"/>
        </w:numPr>
        <w:ind w:left="252" w:hanging="252"/>
        <w:rPr>
          <w:sz w:val="20"/>
          <w:szCs w:val="20"/>
        </w:rPr>
      </w:pPr>
      <w:r>
        <w:rPr>
          <w:sz w:val="20"/>
          <w:szCs w:val="20"/>
        </w:rPr>
        <w:t>AP/CLEP guidelines - Bulletin</w:t>
      </w:r>
    </w:p>
    <w:p w:rsidR="00901054" w:rsidRDefault="00901054" w:rsidP="00072109">
      <w:pPr>
        <w:pStyle w:val="NoSpacing"/>
        <w:numPr>
          <w:ilvl w:val="0"/>
          <w:numId w:val="7"/>
        </w:numPr>
        <w:ind w:left="252" w:hanging="252"/>
        <w:rPr>
          <w:sz w:val="20"/>
          <w:szCs w:val="20"/>
        </w:rPr>
      </w:pPr>
      <w:r>
        <w:rPr>
          <w:sz w:val="20"/>
          <w:szCs w:val="20"/>
        </w:rPr>
        <w:t>One-stop enrollment center proposal</w:t>
      </w:r>
    </w:p>
    <w:p w:rsidR="00901054" w:rsidRDefault="00901054" w:rsidP="00072109">
      <w:pPr>
        <w:pStyle w:val="NoSpacing"/>
        <w:numPr>
          <w:ilvl w:val="0"/>
          <w:numId w:val="7"/>
        </w:numPr>
        <w:ind w:left="252" w:hanging="252"/>
        <w:rPr>
          <w:sz w:val="20"/>
          <w:szCs w:val="20"/>
        </w:rPr>
      </w:pPr>
      <w:r>
        <w:rPr>
          <w:sz w:val="20"/>
          <w:szCs w:val="20"/>
        </w:rPr>
        <w:t>Student Success Collaborative proposal</w:t>
      </w:r>
    </w:p>
    <w:p w:rsidR="00901054" w:rsidRDefault="00901054" w:rsidP="00072109">
      <w:pPr>
        <w:pStyle w:val="NoSpacing"/>
        <w:numPr>
          <w:ilvl w:val="0"/>
          <w:numId w:val="7"/>
        </w:numPr>
        <w:ind w:left="252" w:hanging="252"/>
        <w:rPr>
          <w:sz w:val="20"/>
          <w:szCs w:val="20"/>
        </w:rPr>
      </w:pPr>
      <w:r>
        <w:rPr>
          <w:sz w:val="20"/>
          <w:szCs w:val="20"/>
        </w:rPr>
        <w:t xml:space="preserve"> Lilly Conference description (website)</w:t>
      </w:r>
    </w:p>
    <w:p w:rsidR="00901054" w:rsidRDefault="00901054" w:rsidP="00072109">
      <w:pPr>
        <w:pStyle w:val="NoSpacing"/>
        <w:numPr>
          <w:ilvl w:val="0"/>
          <w:numId w:val="7"/>
        </w:numPr>
        <w:ind w:left="252" w:hanging="252"/>
        <w:rPr>
          <w:sz w:val="20"/>
          <w:szCs w:val="20"/>
        </w:rPr>
      </w:pPr>
      <w:r>
        <w:rPr>
          <w:sz w:val="20"/>
          <w:szCs w:val="20"/>
        </w:rPr>
        <w:t>CELTUA journals description (website)</w:t>
      </w:r>
    </w:p>
    <w:p w:rsidR="00901054" w:rsidRDefault="00901054" w:rsidP="00072109">
      <w:pPr>
        <w:pStyle w:val="NoSpacing"/>
        <w:numPr>
          <w:ilvl w:val="0"/>
          <w:numId w:val="7"/>
        </w:numPr>
        <w:ind w:left="252" w:hanging="252"/>
        <w:rPr>
          <w:sz w:val="20"/>
          <w:szCs w:val="20"/>
        </w:rPr>
      </w:pPr>
      <w:r>
        <w:rPr>
          <w:sz w:val="20"/>
          <w:szCs w:val="20"/>
        </w:rPr>
        <w:t>Scholastic Enhancement Program description, report</w:t>
      </w:r>
    </w:p>
    <w:p w:rsidR="004E5333" w:rsidRPr="00901054" w:rsidRDefault="004E5333" w:rsidP="00901054">
      <w:pPr>
        <w:pStyle w:val="NoSpacing"/>
        <w:numPr>
          <w:ilvl w:val="0"/>
          <w:numId w:val="7"/>
        </w:numPr>
        <w:ind w:left="252" w:hanging="252"/>
        <w:rPr>
          <w:sz w:val="20"/>
          <w:szCs w:val="20"/>
        </w:rPr>
      </w:pPr>
      <w:r w:rsidRPr="00901054">
        <w:rPr>
          <w:sz w:val="20"/>
          <w:szCs w:val="20"/>
        </w:rPr>
        <w:t>UAAC reports and minutes</w:t>
      </w:r>
    </w:p>
    <w:p w:rsidR="004E5333" w:rsidRPr="004646F8" w:rsidRDefault="00A96B27" w:rsidP="00072109">
      <w:pPr>
        <w:pStyle w:val="NoSpacing"/>
        <w:numPr>
          <w:ilvl w:val="0"/>
          <w:numId w:val="7"/>
        </w:numPr>
        <w:ind w:left="252" w:hanging="252"/>
        <w:rPr>
          <w:sz w:val="20"/>
          <w:szCs w:val="20"/>
        </w:rPr>
      </w:pPr>
      <w:r w:rsidRPr="004646F8">
        <w:rPr>
          <w:sz w:val="20"/>
          <w:szCs w:val="20"/>
        </w:rPr>
        <w:t xml:space="preserve">Past </w:t>
      </w:r>
      <w:r w:rsidR="004E5333" w:rsidRPr="004646F8">
        <w:rPr>
          <w:sz w:val="20"/>
          <w:szCs w:val="20"/>
        </w:rPr>
        <w:t>Reports on academic advising (assessment, consulting reports)</w:t>
      </w:r>
    </w:p>
    <w:p w:rsidR="004E5333" w:rsidRPr="004646F8" w:rsidRDefault="00FA26CD" w:rsidP="00072109">
      <w:pPr>
        <w:pStyle w:val="NoSpacing"/>
        <w:numPr>
          <w:ilvl w:val="0"/>
          <w:numId w:val="7"/>
        </w:numPr>
        <w:ind w:left="252" w:hanging="252"/>
        <w:rPr>
          <w:sz w:val="20"/>
          <w:szCs w:val="20"/>
        </w:rPr>
      </w:pPr>
      <w:r w:rsidRPr="004646F8">
        <w:rPr>
          <w:sz w:val="20"/>
          <w:szCs w:val="20"/>
        </w:rPr>
        <w:t>P</w:t>
      </w:r>
      <w:r w:rsidR="004E5333" w:rsidRPr="004646F8">
        <w:rPr>
          <w:sz w:val="20"/>
          <w:szCs w:val="20"/>
        </w:rPr>
        <w:t>lan for University S</w:t>
      </w:r>
      <w:r w:rsidR="00A96B27" w:rsidRPr="004646F8">
        <w:rPr>
          <w:sz w:val="20"/>
          <w:szCs w:val="20"/>
        </w:rPr>
        <w:t>tudies students</w:t>
      </w:r>
      <w:r w:rsidRPr="004646F8">
        <w:rPr>
          <w:sz w:val="20"/>
          <w:szCs w:val="20"/>
        </w:rPr>
        <w:t>, annual report</w:t>
      </w:r>
    </w:p>
    <w:p w:rsidR="002B2C5F" w:rsidRPr="004646F8" w:rsidRDefault="004E5333" w:rsidP="002B2C5F">
      <w:pPr>
        <w:pStyle w:val="NoSpacing"/>
        <w:numPr>
          <w:ilvl w:val="0"/>
          <w:numId w:val="7"/>
        </w:numPr>
        <w:ind w:left="252" w:hanging="252"/>
        <w:rPr>
          <w:sz w:val="20"/>
          <w:szCs w:val="20"/>
        </w:rPr>
      </w:pPr>
      <w:r w:rsidRPr="004646F8">
        <w:rPr>
          <w:sz w:val="20"/>
          <w:szCs w:val="20"/>
        </w:rPr>
        <w:t>Departmental and</w:t>
      </w:r>
      <w:r w:rsidR="00A96B27" w:rsidRPr="004646F8">
        <w:rPr>
          <w:sz w:val="20"/>
          <w:szCs w:val="20"/>
        </w:rPr>
        <w:t xml:space="preserve"> divisional advising summaries (Compliance Assist)</w:t>
      </w:r>
    </w:p>
    <w:p w:rsidR="00096723" w:rsidRPr="004646F8" w:rsidRDefault="002B2C5F" w:rsidP="002B2C5F">
      <w:pPr>
        <w:pStyle w:val="NoSpacing"/>
        <w:numPr>
          <w:ilvl w:val="0"/>
          <w:numId w:val="7"/>
        </w:numPr>
        <w:ind w:left="252" w:hanging="252"/>
        <w:rPr>
          <w:sz w:val="20"/>
          <w:szCs w:val="20"/>
        </w:rPr>
      </w:pPr>
      <w:r w:rsidRPr="004646F8">
        <w:rPr>
          <w:sz w:val="20"/>
          <w:szCs w:val="20"/>
        </w:rPr>
        <w:t>Space Utilization Handbook, annual reports or minutes.  I found copy of handbook</w:t>
      </w:r>
      <w:r w:rsidR="00096723" w:rsidRPr="004646F8">
        <w:rPr>
          <w:sz w:val="20"/>
          <w:szCs w:val="20"/>
        </w:rPr>
        <w:t xml:space="preserve"> from 2005-2006 at: https://pfd.muohio.edu/projects/SUGhandbook.pdf.  Is there a more recent one?</w:t>
      </w:r>
    </w:p>
    <w:p w:rsidR="002B2C5F" w:rsidRPr="004646F8" w:rsidRDefault="002B2C5F" w:rsidP="000945E2">
      <w:pPr>
        <w:pStyle w:val="NoSpacing"/>
        <w:numPr>
          <w:ilvl w:val="0"/>
          <w:numId w:val="8"/>
        </w:numPr>
        <w:ind w:left="252" w:hanging="252"/>
        <w:rPr>
          <w:sz w:val="20"/>
          <w:szCs w:val="20"/>
        </w:rPr>
      </w:pPr>
      <w:r w:rsidRPr="004646F8">
        <w:rPr>
          <w:sz w:val="20"/>
          <w:szCs w:val="20"/>
        </w:rPr>
        <w:t>IT Services Strategic Plan</w:t>
      </w:r>
      <w:r w:rsidR="00D77240" w:rsidRPr="004646F8">
        <w:rPr>
          <w:sz w:val="20"/>
          <w:szCs w:val="20"/>
        </w:rPr>
        <w:t xml:space="preserve"> (2007), 2009 update,</w:t>
      </w:r>
      <w:r w:rsidRPr="004646F8">
        <w:rPr>
          <w:sz w:val="20"/>
          <w:szCs w:val="20"/>
        </w:rPr>
        <w:t xml:space="preserve"> and 2020 plan</w:t>
      </w:r>
    </w:p>
    <w:p w:rsidR="002B2C5F" w:rsidRPr="004646F8" w:rsidRDefault="002B2C5F" w:rsidP="000945E2">
      <w:pPr>
        <w:pStyle w:val="NoSpacing"/>
        <w:numPr>
          <w:ilvl w:val="0"/>
          <w:numId w:val="8"/>
        </w:numPr>
        <w:ind w:left="252" w:hanging="252"/>
        <w:rPr>
          <w:sz w:val="20"/>
          <w:szCs w:val="20"/>
        </w:rPr>
      </w:pPr>
      <w:r w:rsidRPr="004646F8">
        <w:rPr>
          <w:sz w:val="20"/>
          <w:szCs w:val="20"/>
        </w:rPr>
        <w:t>University Libraries 2020 plan, strategic plan</w:t>
      </w:r>
    </w:p>
    <w:p w:rsidR="00F31E29" w:rsidRPr="004646F8" w:rsidRDefault="00F31E29" w:rsidP="000945E2">
      <w:pPr>
        <w:pStyle w:val="NoSpacing"/>
        <w:numPr>
          <w:ilvl w:val="0"/>
          <w:numId w:val="8"/>
        </w:numPr>
        <w:ind w:left="252" w:hanging="252"/>
        <w:rPr>
          <w:sz w:val="20"/>
          <w:szCs w:val="20"/>
        </w:rPr>
      </w:pPr>
      <w:r w:rsidRPr="004646F8">
        <w:rPr>
          <w:sz w:val="20"/>
          <w:szCs w:val="20"/>
        </w:rPr>
        <w:t xml:space="preserve">Housing Master Plan - </w:t>
      </w:r>
      <w:hyperlink r:id="rId40" w:history="1">
        <w:r w:rsidRPr="004646F8">
          <w:rPr>
            <w:rStyle w:val="Hyperlink"/>
            <w:sz w:val="20"/>
            <w:szCs w:val="20"/>
          </w:rPr>
          <w:t>http://pfd.miamioh.edu/projects/Housing_Master_Plan_2011.pdf</w:t>
        </w:r>
      </w:hyperlink>
    </w:p>
    <w:p w:rsidR="00F31E29" w:rsidRPr="004646F8" w:rsidRDefault="00F31E29" w:rsidP="000945E2">
      <w:pPr>
        <w:pStyle w:val="NoSpacing"/>
        <w:numPr>
          <w:ilvl w:val="0"/>
          <w:numId w:val="8"/>
        </w:numPr>
        <w:ind w:left="252" w:hanging="252"/>
        <w:rPr>
          <w:sz w:val="20"/>
          <w:szCs w:val="20"/>
        </w:rPr>
      </w:pPr>
      <w:r w:rsidRPr="004646F8">
        <w:rPr>
          <w:sz w:val="20"/>
          <w:szCs w:val="20"/>
        </w:rPr>
        <w:t>Lighting Master Plan - http://pfd.miamioh.edu/projects/Housing_Master_Plan_2011.pdf</w:t>
      </w:r>
    </w:p>
    <w:p w:rsidR="004E5333" w:rsidRPr="004646F8" w:rsidRDefault="004E5333" w:rsidP="000945E2">
      <w:pPr>
        <w:pStyle w:val="NoSpacing"/>
        <w:numPr>
          <w:ilvl w:val="0"/>
          <w:numId w:val="8"/>
        </w:numPr>
        <w:ind w:left="252" w:hanging="252"/>
        <w:rPr>
          <w:sz w:val="20"/>
          <w:szCs w:val="20"/>
        </w:rPr>
      </w:pPr>
      <w:r w:rsidRPr="004646F8">
        <w:rPr>
          <w:sz w:val="20"/>
          <w:szCs w:val="20"/>
        </w:rPr>
        <w:t>Campus Master Plan, including renovations of residence hall spaces, classroom spaces, etc.</w:t>
      </w:r>
    </w:p>
    <w:p w:rsidR="00E000C4" w:rsidRPr="004646F8" w:rsidRDefault="00E000C4" w:rsidP="000945E2">
      <w:pPr>
        <w:pStyle w:val="NoSpacing"/>
        <w:numPr>
          <w:ilvl w:val="0"/>
          <w:numId w:val="8"/>
        </w:numPr>
        <w:ind w:left="252" w:hanging="252"/>
        <w:rPr>
          <w:sz w:val="20"/>
          <w:szCs w:val="20"/>
        </w:rPr>
      </w:pPr>
      <w:r w:rsidRPr="004646F8">
        <w:rPr>
          <w:sz w:val="20"/>
          <w:szCs w:val="20"/>
        </w:rPr>
        <w:t xml:space="preserve">Annual reports from </w:t>
      </w:r>
      <w:r w:rsidR="00D77240" w:rsidRPr="004646F8">
        <w:rPr>
          <w:sz w:val="20"/>
          <w:szCs w:val="20"/>
        </w:rPr>
        <w:t xml:space="preserve">CELTUA, ACE Program, ELC, </w:t>
      </w:r>
      <w:r w:rsidRPr="004646F8">
        <w:rPr>
          <w:sz w:val="20"/>
          <w:szCs w:val="20"/>
        </w:rPr>
        <w:t>Armstrong Student Center, RInella, Office of Disability Resources, Global Initiatives, University Honors Program, University Academic Scholars Program, Women’s Center, Office of Diversity Affairs, Office of Disability Resources</w:t>
      </w:r>
    </w:p>
    <w:p w:rsidR="00E000C4" w:rsidRPr="004646F8" w:rsidRDefault="00E000C4" w:rsidP="000945E2">
      <w:pPr>
        <w:pStyle w:val="NoSpacing"/>
        <w:numPr>
          <w:ilvl w:val="0"/>
          <w:numId w:val="8"/>
        </w:numPr>
        <w:ind w:left="252" w:hanging="252"/>
        <w:rPr>
          <w:sz w:val="20"/>
          <w:szCs w:val="20"/>
        </w:rPr>
      </w:pPr>
      <w:r w:rsidRPr="004646F8">
        <w:rPr>
          <w:sz w:val="20"/>
          <w:szCs w:val="20"/>
        </w:rPr>
        <w:t>UAAC presentations to Board of Trustees</w:t>
      </w:r>
    </w:p>
    <w:p w:rsidR="00BB5DF4" w:rsidRPr="004646F8" w:rsidRDefault="007D7232" w:rsidP="000945E2">
      <w:pPr>
        <w:pStyle w:val="NoSpacing"/>
        <w:numPr>
          <w:ilvl w:val="0"/>
          <w:numId w:val="8"/>
        </w:numPr>
        <w:ind w:left="252" w:hanging="252"/>
        <w:rPr>
          <w:sz w:val="20"/>
          <w:szCs w:val="20"/>
        </w:rPr>
      </w:pPr>
      <w:r w:rsidRPr="004646F8">
        <w:rPr>
          <w:sz w:val="20"/>
          <w:szCs w:val="20"/>
        </w:rPr>
        <w:t>Oxford Pathways Program Proposal and Reports</w:t>
      </w:r>
    </w:p>
    <w:p w:rsidR="009457B1" w:rsidRPr="004646F8" w:rsidRDefault="00BB5DF4" w:rsidP="000945E2">
      <w:pPr>
        <w:pStyle w:val="NoSpacing"/>
        <w:numPr>
          <w:ilvl w:val="0"/>
          <w:numId w:val="8"/>
        </w:numPr>
        <w:ind w:left="252" w:hanging="252"/>
        <w:rPr>
          <w:sz w:val="20"/>
          <w:szCs w:val="20"/>
        </w:rPr>
      </w:pPr>
      <w:r w:rsidRPr="004646F8">
        <w:rPr>
          <w:sz w:val="20"/>
          <w:szCs w:val="20"/>
        </w:rPr>
        <w:t xml:space="preserve">Certificate in College Teaching Description in Bulletin or at: </w:t>
      </w:r>
      <w:hyperlink r:id="rId41" w:history="1">
        <w:r w:rsidR="009457B1" w:rsidRPr="004646F8">
          <w:rPr>
            <w:rStyle w:val="Hyperlink"/>
            <w:sz w:val="20"/>
            <w:szCs w:val="20"/>
          </w:rPr>
          <w:t>http://www.units.miamioh.edu/celt/students/certificate.php</w:t>
        </w:r>
      </w:hyperlink>
    </w:p>
    <w:p w:rsidR="009457B1" w:rsidRPr="004646F8" w:rsidRDefault="009457B1" w:rsidP="000945E2">
      <w:pPr>
        <w:pStyle w:val="NoSpacing"/>
        <w:numPr>
          <w:ilvl w:val="0"/>
          <w:numId w:val="8"/>
        </w:numPr>
        <w:ind w:left="252" w:hanging="252"/>
        <w:rPr>
          <w:sz w:val="20"/>
          <w:szCs w:val="20"/>
        </w:rPr>
      </w:pPr>
      <w:r w:rsidRPr="004646F8">
        <w:rPr>
          <w:sz w:val="20"/>
          <w:szCs w:val="20"/>
        </w:rPr>
        <w:t xml:space="preserve">Graduate Student Teaching Effectiveness Program at: </w:t>
      </w:r>
      <w:hyperlink r:id="rId42" w:history="1">
        <w:r w:rsidRPr="004646F8">
          <w:rPr>
            <w:rStyle w:val="Hyperlink"/>
            <w:sz w:val="20"/>
            <w:szCs w:val="20"/>
          </w:rPr>
          <w:t>http://www.units.miamioh.edu/celt/students/gstep/</w:t>
        </w:r>
      </w:hyperlink>
    </w:p>
    <w:p w:rsidR="00280F46" w:rsidRPr="004646F8" w:rsidRDefault="00280F46" w:rsidP="004646F8">
      <w:pPr>
        <w:pStyle w:val="NoSpacing"/>
        <w:rPr>
          <w:sz w:val="20"/>
          <w:szCs w:val="20"/>
        </w:rPr>
      </w:pPr>
      <w:r>
        <w:rPr>
          <w:b/>
        </w:rPr>
        <w:br w:type="page"/>
      </w:r>
    </w:p>
    <w:p w:rsidR="00280F46" w:rsidRPr="005672D6" w:rsidRDefault="00280F46" w:rsidP="00280F46">
      <w:pPr>
        <w:pStyle w:val="Heading4"/>
      </w:pPr>
      <w:r w:rsidRPr="005672D6">
        <w:lastRenderedPageBreak/>
        <w:t>3</w:t>
      </w:r>
      <w:r>
        <w:t>.E.</w:t>
      </w:r>
      <w:r>
        <w:tab/>
      </w:r>
      <w:r w:rsidRPr="005672D6">
        <w:t>The institution fulfills the claims it makes for an enriched educational environment.</w:t>
      </w:r>
    </w:p>
    <w:p w:rsidR="00280F46" w:rsidRPr="00280F46" w:rsidRDefault="00280F46" w:rsidP="00280F46">
      <w:pPr>
        <w:pStyle w:val="Heading5"/>
        <w:ind w:left="720" w:hanging="720"/>
        <w:rPr>
          <w:sz w:val="22"/>
          <w:szCs w:val="22"/>
        </w:rPr>
      </w:pPr>
      <w:r w:rsidRPr="00280F46">
        <w:rPr>
          <w:sz w:val="22"/>
          <w:szCs w:val="22"/>
        </w:rPr>
        <w:t>3.E.1</w:t>
      </w:r>
      <w:r>
        <w:rPr>
          <w:sz w:val="22"/>
          <w:szCs w:val="22"/>
        </w:rPr>
        <w:t>.</w:t>
      </w:r>
      <w:r>
        <w:rPr>
          <w:sz w:val="22"/>
          <w:szCs w:val="22"/>
        </w:rPr>
        <w:tab/>
      </w:r>
      <w:r w:rsidRPr="00280F46">
        <w:rPr>
          <w:sz w:val="22"/>
          <w:szCs w:val="22"/>
        </w:rPr>
        <w:t>Co-curricular programs are suited to the institution’s mission and contribute to the educational experience of its students.</w:t>
      </w:r>
    </w:p>
    <w:p w:rsidR="00C305DE" w:rsidRDefault="00280F46" w:rsidP="00280F46">
      <w:pPr>
        <w:pStyle w:val="Heading5"/>
        <w:ind w:left="720" w:hanging="720"/>
        <w:rPr>
          <w:sz w:val="22"/>
          <w:szCs w:val="22"/>
        </w:rPr>
      </w:pPr>
      <w:r>
        <w:rPr>
          <w:sz w:val="22"/>
          <w:szCs w:val="22"/>
        </w:rPr>
        <w:t>3.E.2.</w:t>
      </w:r>
      <w:r>
        <w:rPr>
          <w:sz w:val="22"/>
          <w:szCs w:val="22"/>
        </w:rPr>
        <w:tab/>
      </w:r>
      <w:r w:rsidRPr="00280F46">
        <w:rPr>
          <w:sz w:val="22"/>
          <w:szCs w:val="22"/>
        </w:rPr>
        <w:t>The institution demonstrates any claims it makes about contributions to its students’ educational experience by virtue of aspects of its mission, such as research, community engagement, service learning, religious or spiritual purpose, and economic development.</w:t>
      </w:r>
    </w:p>
    <w:p w:rsidR="00280F46" w:rsidRDefault="00280F46" w:rsidP="00280F46">
      <w:pPr>
        <w:pStyle w:val="Heading2"/>
      </w:pPr>
      <w:r>
        <w:t>Narrative</w:t>
      </w:r>
    </w:p>
    <w:p w:rsidR="004A1378" w:rsidRDefault="00F41761" w:rsidP="00383E89">
      <w:r>
        <w:t xml:space="preserve">Miami’s </w:t>
      </w:r>
      <w:r w:rsidR="00383E89">
        <w:t>goal to advance culture of learning and discovery insi</w:t>
      </w:r>
      <w:r>
        <w:t>de and outside the classroom is exemplified not only in the mission of engaged learning but also in the third objective of the Miami 2020 Plan: “Engage students with substantive co-curricular and internship opportunities that augment their learning and establish a strong foundation for lifelong success, growth, and adaptability.”</w:t>
      </w:r>
      <w:r w:rsidR="00C84543">
        <w:t xml:space="preserve"> So</w:t>
      </w:r>
      <w:r w:rsidR="00A16A9D">
        <w:t xml:space="preserve"> that this objective is met, specific metrics have been assigned: “75% of students will complete an internship before the</w:t>
      </w:r>
      <w:r w:rsidR="00B30465">
        <w:t>y graduate,” and “90% of student</w:t>
      </w:r>
      <w:r w:rsidR="00A16A9D">
        <w:t>s will have two or more co-curricular experiences before they graduate.”</w:t>
      </w:r>
    </w:p>
    <w:p w:rsidR="00FC13D4" w:rsidRDefault="00A16A9D" w:rsidP="00383E89">
      <w:r>
        <w:t>Miami’s</w:t>
      </w:r>
      <w:r w:rsidR="00FC13D4">
        <w:t xml:space="preserve"> signature c</w:t>
      </w:r>
      <w:r>
        <w:t>o-curricular activities</w:t>
      </w:r>
      <w:r w:rsidR="0030665F">
        <w:t xml:space="preserve"> are described below.</w:t>
      </w:r>
    </w:p>
    <w:p w:rsidR="00EF068A" w:rsidRPr="00684048" w:rsidRDefault="00BF6806" w:rsidP="00892CB5">
      <w:pPr>
        <w:rPr>
          <w:b/>
        </w:rPr>
      </w:pPr>
      <w:r w:rsidRPr="00684048">
        <w:rPr>
          <w:b/>
        </w:rPr>
        <w:t>Undergraduate Research</w:t>
      </w:r>
    </w:p>
    <w:p w:rsidR="00B4537A" w:rsidRDefault="00BF1A08" w:rsidP="002A301C">
      <w:r w:rsidRPr="005720F4">
        <w:t xml:space="preserve">From the moment that they set foot on campus, </w:t>
      </w:r>
      <w:r w:rsidR="00EF068A" w:rsidRPr="005720F4">
        <w:t>Miami students are encouraged</w:t>
      </w:r>
      <w:r w:rsidRPr="005720F4">
        <w:t xml:space="preserve"> and expected</w:t>
      </w:r>
      <w:r w:rsidR="00EF068A" w:rsidRPr="005720F4">
        <w:t xml:space="preserve"> to become involved in creative and scholarly inquiry</w:t>
      </w:r>
      <w:r w:rsidRPr="005720F4">
        <w:t>, and much of this activity occurs outside of the traditional classroom</w:t>
      </w:r>
      <w:r w:rsidR="00EF068A" w:rsidRPr="005720F4">
        <w:t>.  Not only do many faculty directly involve students i</w:t>
      </w:r>
      <w:r w:rsidR="00BA6642">
        <w:t>n their own research projects</w:t>
      </w:r>
      <w:r w:rsidR="007E2A22">
        <w:t>, but the u</w:t>
      </w:r>
      <w:r w:rsidR="00EF068A" w:rsidRPr="005720F4">
        <w:t>niversity offers a wide array of programs, centers</w:t>
      </w:r>
      <w:r w:rsidR="00BA6642">
        <w:t>,</w:t>
      </w:r>
      <w:r w:rsidR="00EF068A" w:rsidRPr="005720F4">
        <w:t xml:space="preserve"> and opportunities for promoting undergraduate research, including the First-Year Research for Undergraduates (FYRE) program, the Undergrad</w:t>
      </w:r>
      <w:r w:rsidR="00684048" w:rsidRPr="005720F4">
        <w:t xml:space="preserve">uate Summer Scholars Program, </w:t>
      </w:r>
      <w:r w:rsidR="00EF068A" w:rsidRPr="005720F4">
        <w:t>the Doctoral Undergraduate Opportunity Scholarship (DUOS) program,  the Western Inquiry Center, the Center for Psychological Inqui</w:t>
      </w:r>
      <w:r w:rsidR="00FA1A21" w:rsidRPr="005720F4">
        <w:t xml:space="preserve">ry, </w:t>
      </w:r>
      <w:r w:rsidR="00C84543">
        <w:t xml:space="preserve">the </w:t>
      </w:r>
      <w:r w:rsidR="00684048" w:rsidRPr="005720F4">
        <w:t>Altman Undergraduate Fellows Program, the University Honors Progra</w:t>
      </w:r>
      <w:r w:rsidR="00BA6642">
        <w:t>m, and the University Academic S</w:t>
      </w:r>
      <w:r w:rsidR="00684048" w:rsidRPr="005720F4">
        <w:t>cholars Program</w:t>
      </w:r>
      <w:r w:rsidR="00FA1A21" w:rsidRPr="005720F4">
        <w:t xml:space="preserve">.  </w:t>
      </w:r>
      <w:r w:rsidR="00B4537A">
        <w:t xml:space="preserve">The </w:t>
      </w:r>
      <w:r w:rsidR="00BA6642">
        <w:t xml:space="preserve">goals of the </w:t>
      </w:r>
      <w:r w:rsidR="00C84543">
        <w:t xml:space="preserve">newly founded Office </w:t>
      </w:r>
      <w:r w:rsidR="00DC10DE">
        <w:t>of</w:t>
      </w:r>
      <w:r w:rsidR="00B4537A">
        <w:t xml:space="preserve"> Rese</w:t>
      </w:r>
      <w:r w:rsidR="00DC10DE">
        <w:t>arch for</w:t>
      </w:r>
      <w:r w:rsidR="00BA6642">
        <w:t xml:space="preserve"> Undergraduates are</w:t>
      </w:r>
      <w:r w:rsidR="00B4537A">
        <w:t xml:space="preserve"> to better track and assess student research and coordinate the multitude of res</w:t>
      </w:r>
      <w:r w:rsidR="003323F6">
        <w:t>earch opportunities across the u</w:t>
      </w:r>
      <w:r w:rsidR="00B4537A">
        <w:t>niversity.</w:t>
      </w:r>
      <w:r w:rsidR="009107D5">
        <w:t xml:space="preserve"> </w:t>
      </w:r>
      <w:r w:rsidR="00CA102A" w:rsidRPr="005720F4">
        <w:t xml:space="preserve">Several journals and online sites (e.g., </w:t>
      </w:r>
      <w:r w:rsidR="002A301C" w:rsidRPr="003323F6">
        <w:rPr>
          <w:i/>
        </w:rPr>
        <w:t xml:space="preserve">COMPASS, </w:t>
      </w:r>
      <w:r w:rsidR="00CA102A" w:rsidRPr="003323F6">
        <w:rPr>
          <w:i/>
        </w:rPr>
        <w:t>Mi CUP OF TEA, MQ, Inklings, The Crucible</w:t>
      </w:r>
      <w:r w:rsidR="00CA102A" w:rsidRPr="005720F4">
        <w:t>)</w:t>
      </w:r>
      <w:r w:rsidR="00FA1A21" w:rsidRPr="005720F4">
        <w:t xml:space="preserve"> exist at Miami for students to publish their work</w:t>
      </w:r>
      <w:r w:rsidR="000521AE" w:rsidRPr="005720F4">
        <w:t>, and grants as well as other funds for research activities are available through departments, divisions, the Office of Advancement for Research &amp; Scholarship, and the University Honors Program</w:t>
      </w:r>
      <w:r w:rsidR="00FA1A21" w:rsidRPr="005720F4">
        <w:t xml:space="preserve">.  </w:t>
      </w:r>
    </w:p>
    <w:p w:rsidR="00EF068A" w:rsidRPr="002664B0" w:rsidRDefault="000B6E93" w:rsidP="002A301C">
      <w:r w:rsidRPr="002664B0">
        <w:t>Each year, over 2</w:t>
      </w:r>
      <w:r w:rsidR="00BA6642">
        <w:t>,</w:t>
      </w:r>
      <w:r w:rsidRPr="002664B0">
        <w:t>000 undergraduates work with professors on funded research, and in g</w:t>
      </w:r>
      <w:r w:rsidR="00C84543">
        <w:t xml:space="preserve">raduation surveys, 39% of </w:t>
      </w:r>
      <w:r w:rsidRPr="002664B0">
        <w:t xml:space="preserve">seniors report that they have worked on a research project with a faculty member.  </w:t>
      </w:r>
      <w:r w:rsidR="005720F4" w:rsidRPr="002664B0">
        <w:t>In 2014, more than 500</w:t>
      </w:r>
      <w:r w:rsidR="00684048" w:rsidRPr="002664B0">
        <w:t xml:space="preserve"> students present</w:t>
      </w:r>
      <w:r w:rsidR="005720F4" w:rsidRPr="002664B0">
        <w:t>ed</w:t>
      </w:r>
      <w:r w:rsidR="00684048" w:rsidRPr="002664B0">
        <w:t xml:space="preserve"> their work at t</w:t>
      </w:r>
      <w:r w:rsidR="003323F6">
        <w:t>he undergraduate research f</w:t>
      </w:r>
      <w:r w:rsidR="00BF1A08" w:rsidRPr="002664B0">
        <w:t>orum</w:t>
      </w:r>
      <w:r w:rsidR="005720F4" w:rsidRPr="002664B0">
        <w:t>, and over 80 students presented their research at national confere</w:t>
      </w:r>
      <w:r w:rsidR="003323F6">
        <w:t>nces, in part supported by the undergraduate presentation a</w:t>
      </w:r>
      <w:r w:rsidR="005720F4" w:rsidRPr="002664B0">
        <w:t>wards program.  Additionally, e</w:t>
      </w:r>
      <w:r w:rsidR="00BF1A08" w:rsidRPr="002664B0">
        <w:t xml:space="preserve">ach year, </w:t>
      </w:r>
      <w:r w:rsidR="003323F6">
        <w:t xml:space="preserve">the provost selects up to </w:t>
      </w:r>
      <w:r w:rsidR="00BF1A08" w:rsidRPr="002664B0">
        <w:t>12 st</w:t>
      </w:r>
      <w:r w:rsidRPr="002664B0">
        <w:t xml:space="preserve">udents to receive an award for </w:t>
      </w:r>
      <w:r w:rsidR="00BF1A08" w:rsidRPr="002664B0">
        <w:t xml:space="preserve">outstanding </w:t>
      </w:r>
      <w:r w:rsidRPr="002664B0">
        <w:t>achievement</w:t>
      </w:r>
      <w:r w:rsidR="00F8162C" w:rsidRPr="002664B0">
        <w:t xml:space="preserve"> in scholarly work and rigorous academic study.</w:t>
      </w:r>
      <w:r w:rsidR="00B4537A" w:rsidRPr="002664B0">
        <w:t xml:space="preserve"> Since </w:t>
      </w:r>
      <w:r w:rsidR="00F212CE" w:rsidRPr="002664B0">
        <w:t>2007</w:t>
      </w:r>
      <w:r w:rsidR="00B4537A" w:rsidRPr="002664B0">
        <w:t>, Miami students have received prestigious interna</w:t>
      </w:r>
      <w:r w:rsidR="00F212CE" w:rsidRPr="002664B0">
        <w:t xml:space="preserve">tional and national fellowships, such as the Fulbright, </w:t>
      </w:r>
      <w:r w:rsidR="002664B0" w:rsidRPr="002664B0">
        <w:t xml:space="preserve">Astronaut, Beinecke, Boren, Goldwater, Gilman, Udall, and </w:t>
      </w:r>
      <w:r w:rsidR="002262CB">
        <w:t>the NSF Graduate Fellowship</w:t>
      </w:r>
      <w:r w:rsidR="002664B0" w:rsidRPr="002664B0">
        <w:t xml:space="preserve">.  </w:t>
      </w:r>
    </w:p>
    <w:p w:rsidR="00BF6806" w:rsidRDefault="00BF6806" w:rsidP="00CA102A">
      <w:pPr>
        <w:rPr>
          <w:b/>
        </w:rPr>
      </w:pPr>
      <w:r w:rsidRPr="002664B0">
        <w:rPr>
          <w:b/>
        </w:rPr>
        <w:t>Study Abroad</w:t>
      </w:r>
      <w:r w:rsidR="0099507B" w:rsidRPr="002664B0">
        <w:rPr>
          <w:b/>
        </w:rPr>
        <w:t xml:space="preserve"> &amp; </w:t>
      </w:r>
      <w:r w:rsidR="003D5EA8">
        <w:rPr>
          <w:b/>
        </w:rPr>
        <w:t xml:space="preserve">Domestic Study </w:t>
      </w:r>
      <w:r w:rsidR="0099507B" w:rsidRPr="002664B0">
        <w:rPr>
          <w:b/>
        </w:rPr>
        <w:t>Away</w:t>
      </w:r>
    </w:p>
    <w:p w:rsidR="00C00CDD" w:rsidRDefault="0099507B" w:rsidP="00CA102A">
      <w:r w:rsidRPr="0099507B">
        <w:t>Miami o</w:t>
      </w:r>
      <w:r>
        <w:t>ffers students a plethora of opportunities for studying abroad and away, including</w:t>
      </w:r>
      <w:r w:rsidR="002262CB">
        <w:t xml:space="preserve"> faculty-led programs, MUDEC (</w:t>
      </w:r>
      <w:r>
        <w:t>Luxembourg</w:t>
      </w:r>
      <w:r w:rsidR="002262CB">
        <w:t>)</w:t>
      </w:r>
      <w:r>
        <w:t xml:space="preserve">, Farmer School of Business international programs, </w:t>
      </w:r>
      <w:r w:rsidR="002A497F">
        <w:t xml:space="preserve">exchange programs, third-party provider programs, and Project Dragonfly’s Global Field Program.  In addition to MUDEC, Miami students study abroad in almost 70 countries each year.  </w:t>
      </w:r>
      <w:r w:rsidR="00C00CDD">
        <w:t>They also participate in domestic study away programs in such locations as New York City, San Francisco, Chicago, New Orleans, Los Angeles</w:t>
      </w:r>
      <w:r w:rsidR="002262CB">
        <w:t>,</w:t>
      </w:r>
      <w:r w:rsidR="00C00CDD">
        <w:t xml:space="preserve"> and Washington, DC.  </w:t>
      </w:r>
      <w:r w:rsidR="00491D3C">
        <w:t xml:space="preserve">Signature study away </w:t>
      </w:r>
      <w:r w:rsidR="00491D3C">
        <w:lastRenderedPageBreak/>
        <w:t>programs include the Interactive Media Studies Program in the Silicon Valley, Inside Washington Program</w:t>
      </w:r>
      <w:r w:rsidR="002262CB">
        <w:t>,</w:t>
      </w:r>
      <w:r w:rsidR="00491D3C">
        <w:t xml:space="preserve"> and Inside Hollywood Program.</w:t>
      </w:r>
    </w:p>
    <w:p w:rsidR="0099507B" w:rsidRDefault="00C00CDD" w:rsidP="00CA102A">
      <w:r>
        <w:t xml:space="preserve">Study abroad </w:t>
      </w:r>
      <w:r w:rsidR="00470970">
        <w:t xml:space="preserve">and away </w:t>
      </w:r>
      <w:r>
        <w:t>opportunities are available</w:t>
      </w:r>
      <w:r w:rsidR="003D5EA8">
        <w:t xml:space="preserve"> year round</w:t>
      </w:r>
      <w:r>
        <w:t>.</w:t>
      </w:r>
    </w:p>
    <w:p w:rsidR="002A497F" w:rsidRPr="0099507B" w:rsidRDefault="002A497F" w:rsidP="00CA102A">
      <w:r>
        <w:t xml:space="preserve">To assist students in making the most of their experience, the following forms of support are provided: </w:t>
      </w:r>
    </w:p>
    <w:p w:rsidR="000B6E93" w:rsidRPr="00902076" w:rsidRDefault="00C00CDD" w:rsidP="00F5054C">
      <w:pPr>
        <w:pStyle w:val="ListParagraph"/>
        <w:numPr>
          <w:ilvl w:val="0"/>
          <w:numId w:val="74"/>
        </w:numPr>
      </w:pPr>
      <w:r w:rsidRPr="00902076">
        <w:t xml:space="preserve">Financial assistance in the form of </w:t>
      </w:r>
      <w:r w:rsidR="004307AE" w:rsidRPr="00902076">
        <w:t>scholarships and tuition waivers, including funds for airfare</w:t>
      </w:r>
      <w:r w:rsidR="00C737C9">
        <w:t>, during the academic semesters with some limited support during the summer and winter terms</w:t>
      </w:r>
      <w:r w:rsidR="00902076">
        <w:t>;</w:t>
      </w:r>
    </w:p>
    <w:p w:rsidR="004307AE" w:rsidRPr="00902076" w:rsidRDefault="004307AE" w:rsidP="00F5054C">
      <w:pPr>
        <w:pStyle w:val="ListParagraph"/>
        <w:numPr>
          <w:ilvl w:val="0"/>
          <w:numId w:val="74"/>
        </w:numPr>
      </w:pPr>
      <w:r w:rsidRPr="00902076">
        <w:t>Information</w:t>
      </w:r>
      <w:r w:rsidR="0017544E">
        <w:t>al resources</w:t>
      </w:r>
      <w:r w:rsidRPr="00902076">
        <w:t xml:space="preserve"> through </w:t>
      </w:r>
      <w:r w:rsidR="002262CB">
        <w:t xml:space="preserve">an </w:t>
      </w:r>
      <w:r w:rsidR="00902076" w:rsidRPr="00902076">
        <w:t xml:space="preserve">annual study abroad fair, </w:t>
      </w:r>
      <w:r w:rsidRPr="00902076">
        <w:t xml:space="preserve">weekly </w:t>
      </w:r>
      <w:r w:rsidR="00642EC2">
        <w:t>“</w:t>
      </w:r>
      <w:r w:rsidRPr="00902076">
        <w:t>Study Abroad 101</w:t>
      </w:r>
      <w:r w:rsidR="00642EC2">
        <w:t>”</w:t>
      </w:r>
      <w:r w:rsidRPr="00902076">
        <w:t xml:space="preserve"> sessions, online video tutorials, handbooks, </w:t>
      </w:r>
      <w:r w:rsidR="00966EE4" w:rsidRPr="00902076">
        <w:t xml:space="preserve">a study abroad program search database, </w:t>
      </w:r>
      <w:r w:rsidRPr="00902076">
        <w:t>and one-on-one consultations with a study abroad advisor</w:t>
      </w:r>
      <w:r w:rsidR="00902076">
        <w:t>;</w:t>
      </w:r>
    </w:p>
    <w:p w:rsidR="00966EE4" w:rsidRPr="00902076" w:rsidRDefault="00966EE4" w:rsidP="00F5054C">
      <w:pPr>
        <w:pStyle w:val="ListParagraph"/>
        <w:numPr>
          <w:ilvl w:val="0"/>
          <w:numId w:val="74"/>
        </w:numPr>
      </w:pPr>
      <w:r w:rsidRPr="00902076">
        <w:t xml:space="preserve">Global Assistance Program which provides safety and health resources from </w:t>
      </w:r>
      <w:r w:rsidR="00902076" w:rsidRPr="00902076">
        <w:t>experts at</w:t>
      </w:r>
      <w:r w:rsidRPr="00902076">
        <w:t xml:space="preserve"> the university, as well as contracted providers, and specialists in the field</w:t>
      </w:r>
      <w:r w:rsidR="00902076">
        <w:t>;</w:t>
      </w:r>
    </w:p>
    <w:p w:rsidR="00966EE4" w:rsidRDefault="00902076" w:rsidP="00F5054C">
      <w:pPr>
        <w:pStyle w:val="ListParagraph"/>
        <w:numPr>
          <w:ilvl w:val="0"/>
          <w:numId w:val="74"/>
        </w:numPr>
      </w:pPr>
      <w:r w:rsidRPr="00902076">
        <w:t>Passport services</w:t>
      </w:r>
      <w:r>
        <w:t>.</w:t>
      </w:r>
    </w:p>
    <w:p w:rsidR="00902076" w:rsidRPr="004307AE" w:rsidRDefault="00902076" w:rsidP="00CA102A">
      <w:r>
        <w:t>Almost 40% of undergraduates on the Ox</w:t>
      </w:r>
      <w:r w:rsidR="00FB57CB">
        <w:t>ford campus study abroad, placing Miami third among public universities nationwide</w:t>
      </w:r>
      <w:r w:rsidR="007963AA">
        <w:t xml:space="preserve"> (Open Doors, 2013)</w:t>
      </w:r>
      <w:r w:rsidR="00FB57CB">
        <w:t>.  The Office o</w:t>
      </w:r>
      <w:r w:rsidR="003D5EA8">
        <w:t>f Global Initiatives conducts the</w:t>
      </w:r>
      <w:r w:rsidR="00FB57CB">
        <w:t xml:space="preserve"> assessment of study abroad via a pre- and post-study abroad course, </w:t>
      </w:r>
      <w:r w:rsidR="007963AA">
        <w:t>the Global Perspectives Inventory, and relevant NSSE questions.</w:t>
      </w:r>
    </w:p>
    <w:p w:rsidR="00BF6806" w:rsidRDefault="00BF6806" w:rsidP="00CA102A">
      <w:pPr>
        <w:rPr>
          <w:b/>
        </w:rPr>
      </w:pPr>
      <w:r w:rsidRPr="00BF1A08">
        <w:rPr>
          <w:b/>
        </w:rPr>
        <w:t>Community Engagement &amp; Service Learning</w:t>
      </w:r>
    </w:p>
    <w:p w:rsidR="001067B2" w:rsidRDefault="00C77A4A" w:rsidP="00CA102A">
      <w:r w:rsidRPr="00C77A4A">
        <w:t xml:space="preserve">Miami students also </w:t>
      </w:r>
      <w:r>
        <w:t>actively engage in the community through service-learning</w:t>
      </w:r>
      <w:r w:rsidR="00E54E76">
        <w:t xml:space="preserve"> courses, volunteerism</w:t>
      </w:r>
      <w:r>
        <w:t xml:space="preserve">, plunge experiences, </w:t>
      </w:r>
      <w:r w:rsidR="00E54E76">
        <w:t>advocacy work, and residency programs</w:t>
      </w:r>
      <w:r w:rsidR="001067B2">
        <w:t>.  Literally hundreds of Miami students participate annual</w:t>
      </w:r>
      <w:r w:rsidR="00470970">
        <w:t xml:space="preserve">ly in such </w:t>
      </w:r>
      <w:r w:rsidR="001067B2">
        <w:t>programs as t</w:t>
      </w:r>
      <w:r w:rsidR="00470970">
        <w:t>he Adopt-a-School</w:t>
      </w:r>
      <w:r w:rsidR="001067B2">
        <w:t>, America Reads, America Counts</w:t>
      </w:r>
      <w:r w:rsidR="00470970">
        <w:t>,</w:t>
      </w:r>
      <w:r w:rsidR="008C035D">
        <w:t xml:space="preserve"> and the Over-the Rhine Residency Prog</w:t>
      </w:r>
      <w:r w:rsidR="001067B2">
        <w:t>ram</w:t>
      </w:r>
      <w:r>
        <w:t xml:space="preserve">.  </w:t>
      </w:r>
    </w:p>
    <w:p w:rsidR="008C035D" w:rsidRDefault="00332B4F" w:rsidP="00CA102A">
      <w:r>
        <w:t>Spearheaded by t</w:t>
      </w:r>
      <w:r w:rsidR="008C035D">
        <w:t xml:space="preserve">he Office of Community </w:t>
      </w:r>
      <w:r>
        <w:t xml:space="preserve">Engagement and Service Learning, Miami </w:t>
      </w:r>
      <w:r w:rsidR="008C035D">
        <w:t>provides support for faculty and students in the form of:</w:t>
      </w:r>
    </w:p>
    <w:p w:rsidR="001067B2" w:rsidRPr="00DC10DE" w:rsidRDefault="001067B2" w:rsidP="00F5054C">
      <w:pPr>
        <w:pStyle w:val="ListParagraph"/>
        <w:numPr>
          <w:ilvl w:val="0"/>
          <w:numId w:val="75"/>
        </w:numPr>
      </w:pPr>
      <w:r w:rsidRPr="00DC10DE">
        <w:t>Organizing urban plunge (weekend) experiences in Cincinnati</w:t>
      </w:r>
      <w:r w:rsidR="005D3348" w:rsidRPr="00DC10DE">
        <w:t>, Dayton, Middletown or Cleveland for students and faculty;</w:t>
      </w:r>
    </w:p>
    <w:p w:rsidR="005D3348" w:rsidRPr="00DC10DE" w:rsidRDefault="005D3348" w:rsidP="00F5054C">
      <w:pPr>
        <w:pStyle w:val="ListParagraph"/>
        <w:numPr>
          <w:ilvl w:val="0"/>
          <w:numId w:val="75"/>
        </w:numPr>
      </w:pPr>
      <w:r w:rsidRPr="00DC10DE">
        <w:t xml:space="preserve">Coordinating EMPOWER, a </w:t>
      </w:r>
      <w:r w:rsidRPr="00DC10DE">
        <w:rPr>
          <w:rStyle w:val="apple-converted-space"/>
        </w:rPr>
        <w:t> </w:t>
      </w:r>
      <w:r w:rsidRPr="00DC10DE">
        <w:t>nine-week program intended for</w:t>
      </w:r>
      <w:r w:rsidR="00A32F1D" w:rsidRPr="00DC10DE">
        <w:t xml:space="preserve"> students </w:t>
      </w:r>
      <w:r w:rsidRPr="00DC10DE">
        <w:t>who are interested in expanding their understanding of social issues and their impact on communities</w:t>
      </w:r>
      <w:r w:rsidR="00A32F1D" w:rsidRPr="00DC10DE">
        <w:t>;</w:t>
      </w:r>
    </w:p>
    <w:p w:rsidR="008C035D" w:rsidRPr="00DC10DE" w:rsidRDefault="0005533D" w:rsidP="00F5054C">
      <w:pPr>
        <w:pStyle w:val="ListParagraph"/>
        <w:numPr>
          <w:ilvl w:val="0"/>
          <w:numId w:val="75"/>
        </w:numPr>
      </w:pPr>
      <w:r w:rsidRPr="00DC10DE">
        <w:t>Implementing a new volunteer t</w:t>
      </w:r>
      <w:r w:rsidR="008C035D" w:rsidRPr="00DC10DE">
        <w:t>racking</w:t>
      </w:r>
      <w:r w:rsidRPr="00DC10DE">
        <w:t xml:space="preserve"> and matching system (</w:t>
      </w:r>
      <w:r w:rsidR="008C035D" w:rsidRPr="00DC10DE">
        <w:t>NobleHour</w:t>
      </w:r>
      <w:r w:rsidRPr="00DC10DE">
        <w:t>)</w:t>
      </w:r>
      <w:r w:rsidR="008C035D" w:rsidRPr="00DC10DE">
        <w:t xml:space="preserve"> to h</w:t>
      </w:r>
      <w:r w:rsidR="00C91B71" w:rsidRPr="00DC10DE">
        <w:t>elp students and the u</w:t>
      </w:r>
      <w:r w:rsidR="008C035D" w:rsidRPr="00DC10DE">
        <w:t>niversity gauge progress on student’s community activities;</w:t>
      </w:r>
    </w:p>
    <w:p w:rsidR="005D3348" w:rsidRPr="00DC10DE" w:rsidRDefault="00891C06" w:rsidP="00F5054C">
      <w:pPr>
        <w:pStyle w:val="ListParagraph"/>
        <w:numPr>
          <w:ilvl w:val="0"/>
          <w:numId w:val="75"/>
        </w:numPr>
      </w:pPr>
      <w:r w:rsidRPr="00DC10DE">
        <w:t>Making</w:t>
      </w:r>
      <w:r w:rsidR="00332B4F" w:rsidRPr="00DC10DE">
        <w:t xml:space="preserve"> training and resources</w:t>
      </w:r>
      <w:r w:rsidRPr="00DC10DE">
        <w:t xml:space="preserve"> available</w:t>
      </w:r>
      <w:r w:rsidR="00332B4F" w:rsidRPr="00DC10DE">
        <w:t xml:space="preserve"> to faculty interested in designing a service-learning course</w:t>
      </w:r>
      <w:r w:rsidR="00A32F1D" w:rsidRPr="00DC10DE">
        <w:t>;</w:t>
      </w:r>
    </w:p>
    <w:p w:rsidR="00332B4F" w:rsidRPr="00DC10DE" w:rsidRDefault="00332B4F" w:rsidP="00F5054C">
      <w:pPr>
        <w:pStyle w:val="ListParagraph"/>
        <w:numPr>
          <w:ilvl w:val="0"/>
          <w:numId w:val="75"/>
        </w:numPr>
      </w:pPr>
      <w:r w:rsidRPr="00DC10DE">
        <w:t>Offering an introductory course on service le</w:t>
      </w:r>
      <w:r w:rsidR="003D5EA8" w:rsidRPr="00DC10DE">
        <w:t>arning to students</w:t>
      </w:r>
      <w:r w:rsidR="00A32F1D" w:rsidRPr="00DC10DE">
        <w:t>;</w:t>
      </w:r>
    </w:p>
    <w:p w:rsidR="00332B4F" w:rsidRPr="00DC10DE" w:rsidRDefault="00891C06" w:rsidP="00F5054C">
      <w:pPr>
        <w:pStyle w:val="ListParagraph"/>
        <w:numPr>
          <w:ilvl w:val="0"/>
          <w:numId w:val="75"/>
        </w:numPr>
      </w:pPr>
      <w:r w:rsidRPr="00DC10DE">
        <w:t>Instituting</w:t>
      </w:r>
      <w:r w:rsidR="00332B4F" w:rsidRPr="00DC10DE">
        <w:t xml:space="preserve"> an extra credit option for service-learning</w:t>
      </w:r>
      <w:r w:rsidRPr="00DC10DE">
        <w:t xml:space="preserve"> experiences and projects</w:t>
      </w:r>
      <w:r w:rsidR="00A32F1D" w:rsidRPr="00DC10DE">
        <w:t>;</w:t>
      </w:r>
    </w:p>
    <w:p w:rsidR="00332B4F" w:rsidRPr="00DC10DE" w:rsidRDefault="00332B4F" w:rsidP="00F5054C">
      <w:pPr>
        <w:pStyle w:val="ListParagraph"/>
        <w:numPr>
          <w:ilvl w:val="0"/>
          <w:numId w:val="75"/>
        </w:numPr>
      </w:pPr>
      <w:r w:rsidRPr="00DC10DE">
        <w:t>Providing service-learning designated courses, including a review and approval process overseen by a faculty-driven committee</w:t>
      </w:r>
      <w:r w:rsidR="00A32F1D" w:rsidRPr="00DC10DE">
        <w:t>;</w:t>
      </w:r>
    </w:p>
    <w:p w:rsidR="00541BB8" w:rsidRPr="00DC10DE" w:rsidRDefault="00541BB8" w:rsidP="00F5054C">
      <w:pPr>
        <w:pStyle w:val="ListParagraph"/>
        <w:numPr>
          <w:ilvl w:val="0"/>
          <w:numId w:val="75"/>
        </w:numPr>
      </w:pPr>
      <w:r w:rsidRPr="00DC10DE">
        <w:t>Including recognition of service-learning in promotion &amp; tenure decisions</w:t>
      </w:r>
      <w:r w:rsidR="00A32F1D" w:rsidRPr="00DC10DE">
        <w:t>;</w:t>
      </w:r>
    </w:p>
    <w:p w:rsidR="00332B4F" w:rsidRPr="00DC10DE" w:rsidRDefault="00332B4F" w:rsidP="00F5054C">
      <w:pPr>
        <w:pStyle w:val="ListParagraph"/>
        <w:numPr>
          <w:ilvl w:val="0"/>
          <w:numId w:val="75"/>
        </w:numPr>
      </w:pPr>
      <w:r w:rsidRPr="00DC10DE">
        <w:t>Providing white papers and other resources on community engagement and service learning.</w:t>
      </w:r>
    </w:p>
    <w:p w:rsidR="00941C98" w:rsidRPr="00797798" w:rsidRDefault="00FC4809" w:rsidP="00797798">
      <w:r w:rsidRPr="00FC4809">
        <w:t>Assessment is conducted through surveys, course evaluations, and participation rates.</w:t>
      </w:r>
      <w:r w:rsidR="00941C98">
        <w:t xml:space="preserve"> </w:t>
      </w:r>
      <w:r w:rsidR="00470970">
        <w:t>For</w:t>
      </w:r>
      <w:r w:rsidR="000019DC">
        <w:t xml:space="preserve"> each of</w:t>
      </w:r>
      <w:r w:rsidR="00470970">
        <w:t xml:space="preserve"> the past five years,</w:t>
      </w:r>
      <w:r w:rsidR="00941C98" w:rsidRPr="00941C98">
        <w:t xml:space="preserve"> direct service and volunteerism</w:t>
      </w:r>
      <w:r w:rsidR="00642EC2">
        <w:t xml:space="preserve"> have</w:t>
      </w:r>
      <w:r w:rsidR="00A32F1D">
        <w:t xml:space="preserve"> increased. Miami’s</w:t>
      </w:r>
      <w:r w:rsidR="00941C98" w:rsidRPr="00941C98">
        <w:t xml:space="preserve"> community partners have grown from approximately 20 in 2006 to more than 125 in 2</w:t>
      </w:r>
      <w:r w:rsidR="003D5EA8">
        <w:t>013</w:t>
      </w:r>
      <w:r w:rsidR="00941C98" w:rsidRPr="00941C98">
        <w:t>.</w:t>
      </w:r>
      <w:r w:rsidR="00797798">
        <w:t xml:space="preserve"> </w:t>
      </w:r>
      <w:r w:rsidR="00797798">
        <w:rPr>
          <w:rFonts w:eastAsia="Times New Roman"/>
        </w:rPr>
        <w:t>From 2007</w:t>
      </w:r>
      <w:r w:rsidR="006302D9">
        <w:rPr>
          <w:rFonts w:eastAsia="Times New Roman"/>
        </w:rPr>
        <w:t>-2013</w:t>
      </w:r>
      <w:r w:rsidR="00797798">
        <w:rPr>
          <w:rFonts w:eastAsia="Times New Roman"/>
        </w:rPr>
        <w:t>,</w:t>
      </w:r>
      <w:r w:rsidR="00A32F1D">
        <w:rPr>
          <w:rFonts w:eastAsia="Times New Roman"/>
        </w:rPr>
        <w:t xml:space="preserve"> </w:t>
      </w:r>
      <w:r w:rsidR="00941C98" w:rsidRPr="00941C98">
        <w:rPr>
          <w:rFonts w:eastAsia="Times New Roman"/>
        </w:rPr>
        <w:t xml:space="preserve">Miami made the President's Higher Education Honor Roll for Community Service, winning one of five awards in 2012 and receiving </w:t>
      </w:r>
      <w:r w:rsidR="00A32F1D">
        <w:rPr>
          <w:rFonts w:eastAsia="Times New Roman"/>
        </w:rPr>
        <w:t xml:space="preserve">the </w:t>
      </w:r>
      <w:r w:rsidR="00941C98" w:rsidRPr="00941C98">
        <w:rPr>
          <w:rFonts w:eastAsia="Times New Roman"/>
        </w:rPr>
        <w:t>Honor Roll with Distinction in 2013.</w:t>
      </w:r>
      <w:r w:rsidR="00797798">
        <w:t xml:space="preserve"> </w:t>
      </w:r>
      <w:r w:rsidR="00797798">
        <w:rPr>
          <w:rFonts w:eastAsia="Times New Roman"/>
        </w:rPr>
        <w:t xml:space="preserve">In 2010, Miami </w:t>
      </w:r>
      <w:r w:rsidR="00941C98" w:rsidRPr="00941C98">
        <w:rPr>
          <w:rFonts w:eastAsia="Times New Roman"/>
        </w:rPr>
        <w:t xml:space="preserve">was awarded the Carnegie Elective Classification </w:t>
      </w:r>
      <w:r w:rsidR="00A32F1D">
        <w:rPr>
          <w:rFonts w:eastAsia="Times New Roman"/>
        </w:rPr>
        <w:t xml:space="preserve">for Community Engagement in two areas: </w:t>
      </w:r>
      <w:r w:rsidR="00941C98" w:rsidRPr="00941C98">
        <w:rPr>
          <w:rFonts w:eastAsia="Times New Roman"/>
        </w:rPr>
        <w:t>Curricular Engagement and Outreach &amp; Partnerships.</w:t>
      </w:r>
    </w:p>
    <w:p w:rsidR="00BF6806" w:rsidRDefault="00BF6806" w:rsidP="00CA102A">
      <w:pPr>
        <w:rPr>
          <w:b/>
        </w:rPr>
      </w:pPr>
      <w:r w:rsidRPr="00BF1A08">
        <w:rPr>
          <w:b/>
        </w:rPr>
        <w:lastRenderedPageBreak/>
        <w:t>Internships</w:t>
      </w:r>
    </w:p>
    <w:p w:rsidR="005E2469" w:rsidRDefault="005E2469" w:rsidP="00CA102A">
      <w:r w:rsidRPr="005E2469">
        <w:t>According to our graduation survey, approximately 67% of students participate in internships, fieldwork</w:t>
      </w:r>
      <w:r w:rsidR="00A32F1D">
        <w:t>,</w:t>
      </w:r>
      <w:r w:rsidRPr="005E2469">
        <w:t xml:space="preserve"> or co-ops during their time at Miami. </w:t>
      </w:r>
      <w:r>
        <w:t xml:space="preserve"> This high level of participation is made possible by the following:</w:t>
      </w:r>
    </w:p>
    <w:p w:rsidR="004505A5" w:rsidRPr="00843BA3" w:rsidRDefault="004505A5" w:rsidP="00F5054C">
      <w:pPr>
        <w:pStyle w:val="ListParagraph"/>
        <w:numPr>
          <w:ilvl w:val="0"/>
          <w:numId w:val="76"/>
        </w:numPr>
      </w:pPr>
      <w:r w:rsidRPr="00DC10DE">
        <w:rPr>
          <w:b/>
        </w:rPr>
        <w:t>Career Link</w:t>
      </w:r>
      <w:r w:rsidRPr="00843BA3">
        <w:t>, a database of full-time, part-time, seasonal and internship positions</w:t>
      </w:r>
      <w:r w:rsidR="002A609A">
        <w:t>;</w:t>
      </w:r>
    </w:p>
    <w:p w:rsidR="005E2469" w:rsidRPr="00843BA3" w:rsidRDefault="000019DC" w:rsidP="00F5054C">
      <w:pPr>
        <w:pStyle w:val="ListParagraph"/>
        <w:numPr>
          <w:ilvl w:val="0"/>
          <w:numId w:val="76"/>
        </w:numPr>
        <w:rPr>
          <w:rStyle w:val="apple-converted-space"/>
        </w:rPr>
      </w:pPr>
      <w:r w:rsidRPr="00DC10DE">
        <w:rPr>
          <w:b/>
        </w:rPr>
        <w:t>Internship &amp; Career F</w:t>
      </w:r>
      <w:r w:rsidR="005C5909" w:rsidRPr="00DC10DE">
        <w:rPr>
          <w:b/>
        </w:rPr>
        <w:t>airs</w:t>
      </w:r>
      <w:r w:rsidR="005C5909" w:rsidRPr="00843BA3">
        <w:t xml:space="preserve">: </w:t>
      </w:r>
      <w:r w:rsidR="004505A5" w:rsidRPr="00843BA3">
        <w:t>Miami sponsors one of the largest career fairs for a public institution of Miami's size. In 2014, 270 employers were in attendance</w:t>
      </w:r>
      <w:r w:rsidR="00C12058">
        <w:t xml:space="preserve"> (which is nearl</w:t>
      </w:r>
      <w:r w:rsidR="00864F9D">
        <w:t>y twice as many as other universities of comparable</w:t>
      </w:r>
      <w:r w:rsidR="00C12058">
        <w:t xml:space="preserve"> size)</w:t>
      </w:r>
      <w:r w:rsidR="004505A5" w:rsidRPr="00843BA3">
        <w:t>. The university also holds special career fairs, including ones for internships, tea</w:t>
      </w:r>
      <w:r w:rsidR="002A609A">
        <w:t>chers, architects</w:t>
      </w:r>
      <w:r w:rsidR="00F15EBA">
        <w:t>,</w:t>
      </w:r>
      <w:r w:rsidR="002A609A">
        <w:t xml:space="preserve"> and designers;</w:t>
      </w:r>
    </w:p>
    <w:p w:rsidR="004505A5" w:rsidRPr="00843BA3" w:rsidRDefault="00843BA3" w:rsidP="00F5054C">
      <w:pPr>
        <w:pStyle w:val="ListParagraph"/>
        <w:numPr>
          <w:ilvl w:val="0"/>
          <w:numId w:val="76"/>
        </w:numPr>
        <w:rPr>
          <w:rStyle w:val="apple-converted-space"/>
        </w:rPr>
      </w:pPr>
      <w:r w:rsidRPr="00DC10DE">
        <w:rPr>
          <w:rStyle w:val="apple-converted-space"/>
          <w:b/>
        </w:rPr>
        <w:t>Internet Resources</w:t>
      </w:r>
      <w:r w:rsidRPr="00843BA3">
        <w:rPr>
          <w:rStyle w:val="apple-converted-space"/>
        </w:rPr>
        <w:t>, a</w:t>
      </w:r>
      <w:r w:rsidR="004505A5" w:rsidRPr="00843BA3">
        <w:t xml:space="preserve"> compilation of links to help students find</w:t>
      </w:r>
      <w:r w:rsidRPr="00843BA3">
        <w:t xml:space="preserve"> internships and jobs which are available on the </w:t>
      </w:r>
      <w:r w:rsidR="00F15EBA">
        <w:t xml:space="preserve">Office of </w:t>
      </w:r>
      <w:r w:rsidRPr="00843BA3">
        <w:t>Career Services website,</w:t>
      </w:r>
      <w:r w:rsidR="004505A5" w:rsidRPr="00843BA3">
        <w:t xml:space="preserve"> are categorized by major and specific-career interest</w:t>
      </w:r>
      <w:r w:rsidR="00864F9D">
        <w:t>,</w:t>
      </w:r>
      <w:r w:rsidR="004505A5" w:rsidRPr="00843BA3">
        <w:t xml:space="preserve"> and include regio</w:t>
      </w:r>
      <w:r w:rsidR="002A609A">
        <w:t>nal and international job sites;</w:t>
      </w:r>
    </w:p>
    <w:p w:rsidR="00843BA3" w:rsidRPr="00843BA3" w:rsidRDefault="000019DC" w:rsidP="00F5054C">
      <w:pPr>
        <w:pStyle w:val="ListParagraph"/>
        <w:numPr>
          <w:ilvl w:val="0"/>
          <w:numId w:val="76"/>
        </w:numPr>
        <w:rPr>
          <w:rStyle w:val="apple-converted-space"/>
        </w:rPr>
      </w:pPr>
      <w:r w:rsidRPr="00DC10DE">
        <w:rPr>
          <w:rStyle w:val="apple-converted-space"/>
          <w:b/>
        </w:rPr>
        <w:t>Career V</w:t>
      </w:r>
      <w:r w:rsidR="00843BA3" w:rsidRPr="00DC10DE">
        <w:rPr>
          <w:rStyle w:val="apple-converted-space"/>
          <w:b/>
        </w:rPr>
        <w:t>ideos</w:t>
      </w:r>
      <w:r w:rsidR="00843BA3" w:rsidRPr="00843BA3">
        <w:rPr>
          <w:rStyle w:val="apple-converted-space"/>
        </w:rPr>
        <w:t xml:space="preserve"> which allow students to </w:t>
      </w:r>
      <w:r w:rsidR="00843BA3" w:rsidRPr="00843BA3">
        <w:t>see and hear employers, career advisors</w:t>
      </w:r>
      <w:r w:rsidR="00864F9D">
        <w:t>,</w:t>
      </w:r>
      <w:r w:rsidR="00843BA3" w:rsidRPr="00843BA3">
        <w:t xml:space="preserve"> and students dis</w:t>
      </w:r>
      <w:r w:rsidR="00864F9D">
        <w:t>cuss dozens of career topics as well as</w:t>
      </w:r>
      <w:r w:rsidR="00843BA3" w:rsidRPr="00843BA3">
        <w:t xml:space="preserve"> internship </w:t>
      </w:r>
      <w:r w:rsidR="00F31034">
        <w:t>and job sea</w:t>
      </w:r>
      <w:r w:rsidR="00864F9D">
        <w:t>rch strategies</w:t>
      </w:r>
      <w:r w:rsidR="00F31034">
        <w:t>, networking, and internship selection</w:t>
      </w:r>
      <w:r w:rsidR="00FF4096">
        <w:t>;</w:t>
      </w:r>
    </w:p>
    <w:p w:rsidR="004C1B67" w:rsidRDefault="004C1B67" w:rsidP="00F5054C">
      <w:pPr>
        <w:pStyle w:val="ListParagraph"/>
        <w:numPr>
          <w:ilvl w:val="0"/>
          <w:numId w:val="76"/>
        </w:numPr>
      </w:pPr>
      <w:r w:rsidRPr="00DC10DE">
        <w:rPr>
          <w:b/>
        </w:rPr>
        <w:t>Career Success Certificate Program</w:t>
      </w:r>
      <w:r w:rsidR="00EC1771">
        <w:rPr>
          <w:b/>
        </w:rPr>
        <w:t xml:space="preserve"> </w:t>
      </w:r>
      <w:r w:rsidR="00EC1771" w:rsidRPr="00EC1771">
        <w:t>which is awarded to students who complete an internship, client-centered classroom project, service learning course, or other practical learning experience</w:t>
      </w:r>
      <w:r w:rsidR="002A609A">
        <w:t>;</w:t>
      </w:r>
    </w:p>
    <w:p w:rsidR="004C1B67" w:rsidRDefault="000019DC" w:rsidP="00F5054C">
      <w:pPr>
        <w:pStyle w:val="ListParagraph"/>
        <w:numPr>
          <w:ilvl w:val="0"/>
          <w:numId w:val="76"/>
        </w:numPr>
      </w:pPr>
      <w:r w:rsidRPr="00DC10DE">
        <w:rPr>
          <w:b/>
        </w:rPr>
        <w:t>Career-Planning Workshops</w:t>
      </w:r>
      <w:r>
        <w:t xml:space="preserve"> focusing on such topics as</w:t>
      </w:r>
      <w:r w:rsidR="004C1B67">
        <w:t xml:space="preserve"> cover letter, resume and interview preparation</w:t>
      </w:r>
      <w:r w:rsidR="002A609A">
        <w:t>;</w:t>
      </w:r>
    </w:p>
    <w:p w:rsidR="004C1B67" w:rsidRDefault="000019DC" w:rsidP="00F5054C">
      <w:pPr>
        <w:pStyle w:val="ListParagraph"/>
        <w:numPr>
          <w:ilvl w:val="0"/>
          <w:numId w:val="76"/>
        </w:numPr>
      </w:pPr>
      <w:r w:rsidRPr="00DC10DE">
        <w:rPr>
          <w:b/>
        </w:rPr>
        <w:t>Ongoing P</w:t>
      </w:r>
      <w:r w:rsidR="00864F9D" w:rsidRPr="00DC10DE">
        <w:rPr>
          <w:b/>
        </w:rPr>
        <w:t>artnerships with Miami’s</w:t>
      </w:r>
      <w:r w:rsidRPr="00DC10DE">
        <w:rPr>
          <w:b/>
        </w:rPr>
        <w:t xml:space="preserve"> E</w:t>
      </w:r>
      <w:r w:rsidR="004C1B67" w:rsidRPr="00DC10DE">
        <w:rPr>
          <w:b/>
        </w:rPr>
        <w:t>mployers</w:t>
      </w:r>
      <w:r w:rsidR="002A609A">
        <w:t xml:space="preserve"> </w:t>
      </w:r>
      <w:r>
        <w:t xml:space="preserve">which includes </w:t>
      </w:r>
      <w:r w:rsidR="00294304">
        <w:t>4,300 companies.</w:t>
      </w:r>
    </w:p>
    <w:p w:rsidR="009E6D4D" w:rsidRDefault="009E6D4D" w:rsidP="009E6D4D">
      <w:pPr>
        <w:pStyle w:val="NoSpacing"/>
      </w:pPr>
    </w:p>
    <w:p w:rsidR="00C97F89" w:rsidRDefault="00797798" w:rsidP="00C97F89">
      <w:pPr>
        <w:rPr>
          <w:rFonts w:eastAsia="Times New Roman"/>
        </w:rPr>
      </w:pPr>
      <w:r w:rsidRPr="00797798">
        <w:t>In 2012, Miami contracted with an outside consulting group to assist in the development of a new strategic plan for car</w:t>
      </w:r>
      <w:r>
        <w:t>eer development and education which resulted in new leadership for the Office of Career Services</w:t>
      </w:r>
      <w:r w:rsidR="006C66D6">
        <w:t>, the incorporation of an experiential learning requirement in the new Global Miami Plan,</w:t>
      </w:r>
      <w:r>
        <w:t xml:space="preserve"> and many of the progress steps listed above.  </w:t>
      </w:r>
      <w:r w:rsidR="003114EA">
        <w:t>In 2014, Miami received a</w:t>
      </w:r>
      <w:r w:rsidR="00C97F89">
        <w:rPr>
          <w:rFonts w:eastAsia="Times New Roman"/>
        </w:rPr>
        <w:t>n Ohio Means Internships &amp; Co-ops grant</w:t>
      </w:r>
      <w:r w:rsidR="003D5EA8">
        <w:rPr>
          <w:rFonts w:eastAsia="Times New Roman"/>
        </w:rPr>
        <w:t xml:space="preserve"> from</w:t>
      </w:r>
      <w:r w:rsidR="00C97F89">
        <w:rPr>
          <w:rFonts w:eastAsia="Times New Roman"/>
        </w:rPr>
        <w:t xml:space="preserve"> </w:t>
      </w:r>
      <w:r w:rsidR="00C97F89" w:rsidRPr="00E16863">
        <w:rPr>
          <w:rFonts w:eastAsia="Times New Roman"/>
        </w:rPr>
        <w:t xml:space="preserve">the </w:t>
      </w:r>
      <w:r w:rsidR="00C97F89">
        <w:rPr>
          <w:rFonts w:eastAsia="Times New Roman"/>
        </w:rPr>
        <w:t>Ohio Board of Regents Chancellor for $748,566 to develop 118 new co-op and intern</w:t>
      </w:r>
      <w:r w:rsidR="00F15EBA">
        <w:rPr>
          <w:rFonts w:eastAsia="Times New Roman"/>
        </w:rPr>
        <w:t>ship placements in Ohio and</w:t>
      </w:r>
      <w:r w:rsidR="00C97F89">
        <w:rPr>
          <w:rFonts w:eastAsia="Times New Roman"/>
        </w:rPr>
        <w:t xml:space="preserve"> fund initiatives on both the Oxford and regional campuses.</w:t>
      </w:r>
    </w:p>
    <w:p w:rsidR="00797798" w:rsidRPr="00797798" w:rsidRDefault="006C66D6" w:rsidP="006C66D6">
      <w:r>
        <w:t xml:space="preserve">Assessment is conducted through the NACE benchmark survey as </w:t>
      </w:r>
      <w:r w:rsidR="00004264">
        <w:t>well as graduation, alumni, and employer surveys (s</w:t>
      </w:r>
      <w:r w:rsidR="00B56339">
        <w:t>ee Career Services Year End Report, 2012-2013</w:t>
      </w:r>
      <w:r w:rsidR="00004264">
        <w:t xml:space="preserve"> and 2013-2014)</w:t>
      </w:r>
      <w:r w:rsidR="00B56339">
        <w:t>.</w:t>
      </w:r>
    </w:p>
    <w:p w:rsidR="00CC4D47" w:rsidRDefault="00CC4D47" w:rsidP="00CA102A">
      <w:pPr>
        <w:rPr>
          <w:b/>
        </w:rPr>
      </w:pPr>
      <w:r w:rsidRPr="00BF1A08">
        <w:rPr>
          <w:b/>
        </w:rPr>
        <w:t>Residence Life</w:t>
      </w:r>
    </w:p>
    <w:p w:rsidR="00350AB0" w:rsidRDefault="00891C06" w:rsidP="00491D3C">
      <w:r w:rsidRPr="00350AB0">
        <w:t xml:space="preserve">The mission of the Office of Residence Life </w:t>
      </w:r>
      <w:r w:rsidR="006E07FA">
        <w:t xml:space="preserve">(ORL) </w:t>
      </w:r>
      <w:r w:rsidRPr="00350AB0">
        <w:t xml:space="preserve">moves well beyond ensuring that students have a safe and comfortable living environment.  </w:t>
      </w:r>
      <w:r w:rsidR="00590E8F">
        <w:t>Miami’s residence halls feature over 30</w:t>
      </w:r>
      <w:r w:rsidR="00350AB0">
        <w:t xml:space="preserve"> “Living Learning Communities” </w:t>
      </w:r>
      <w:r w:rsidR="00590E8F">
        <w:t xml:space="preserve">(LLC) </w:t>
      </w:r>
      <w:r w:rsidR="00350AB0">
        <w:t>that “</w:t>
      </w:r>
      <w:r w:rsidR="00350AB0" w:rsidRPr="00350AB0">
        <w:t>enable residents to become citizen leaders and students as engaged scholars within their community.</w:t>
      </w:r>
      <w:r w:rsidR="00590E8F">
        <w:t>”  To advance the LLC</w:t>
      </w:r>
      <w:r w:rsidR="00F15EBA">
        <w:t>s</w:t>
      </w:r>
      <w:r w:rsidR="00590E8F">
        <w:t>, t</w:t>
      </w:r>
      <w:r w:rsidR="006E07FA">
        <w:t>he ORL staff</w:t>
      </w:r>
      <w:r w:rsidR="00B1255E">
        <w:t xml:space="preserve"> facilitate</w:t>
      </w:r>
      <w:r w:rsidR="00350AB0">
        <w:t xml:space="preserve"> a residential curriculum that includes credit-based courses, workshops, programs, events</w:t>
      </w:r>
      <w:r w:rsidR="00011175">
        <w:t>, online modules,</w:t>
      </w:r>
      <w:r w:rsidR="00350AB0">
        <w:t xml:space="preserve"> and personalized advisement designed to accomplish:</w:t>
      </w:r>
    </w:p>
    <w:p w:rsidR="00350AB0" w:rsidRPr="00350AB0" w:rsidRDefault="00350AB0" w:rsidP="00F5054C">
      <w:pPr>
        <w:pStyle w:val="ListParagraph"/>
        <w:numPr>
          <w:ilvl w:val="0"/>
          <w:numId w:val="77"/>
        </w:numPr>
      </w:pPr>
      <w:r w:rsidRPr="00350AB0">
        <w:t>academic success</w:t>
      </w:r>
      <w:r w:rsidR="00004264">
        <w:t>,</w:t>
      </w:r>
    </w:p>
    <w:p w:rsidR="00350AB0" w:rsidRPr="00350AB0" w:rsidRDefault="00350AB0" w:rsidP="00F5054C">
      <w:pPr>
        <w:pStyle w:val="ListParagraph"/>
        <w:numPr>
          <w:ilvl w:val="0"/>
          <w:numId w:val="77"/>
        </w:numPr>
      </w:pPr>
      <w:r w:rsidRPr="00350AB0">
        <w:t>cultural competency</w:t>
      </w:r>
      <w:r w:rsidR="00004264">
        <w:t>,</w:t>
      </w:r>
    </w:p>
    <w:p w:rsidR="00350AB0" w:rsidRPr="00350AB0" w:rsidRDefault="00350AB0" w:rsidP="00F5054C">
      <w:pPr>
        <w:pStyle w:val="ListParagraph"/>
        <w:numPr>
          <w:ilvl w:val="0"/>
          <w:numId w:val="77"/>
        </w:numPr>
      </w:pPr>
      <w:r w:rsidRPr="00350AB0">
        <w:t>effective community engagement</w:t>
      </w:r>
      <w:r w:rsidR="00B1255E">
        <w:t>, and</w:t>
      </w:r>
    </w:p>
    <w:p w:rsidR="00350AB0" w:rsidRPr="00350AB0" w:rsidRDefault="00350AB0" w:rsidP="00F5054C">
      <w:pPr>
        <w:pStyle w:val="ListParagraph"/>
        <w:numPr>
          <w:ilvl w:val="0"/>
          <w:numId w:val="77"/>
        </w:numPr>
      </w:pPr>
      <w:r w:rsidRPr="00350AB0">
        <w:t>intrapersonal development.</w:t>
      </w:r>
    </w:p>
    <w:p w:rsidR="00491D3C" w:rsidRDefault="00491D3C" w:rsidP="009E6D4D">
      <w:r w:rsidRPr="009E6D4D">
        <w:t>Assessment of the residen</w:t>
      </w:r>
      <w:r w:rsidR="005A07F6">
        <w:t>tial curriculum is done</w:t>
      </w:r>
      <w:r w:rsidRPr="009E6D4D">
        <w:t xml:space="preserve"> via the </w:t>
      </w:r>
      <w:r w:rsidR="00F15EBA">
        <w:t>“</w:t>
      </w:r>
      <w:r w:rsidRPr="009E6D4D">
        <w:t>MU Assessment of Living and Learning Survey</w:t>
      </w:r>
      <w:r w:rsidR="00F15EBA">
        <w:t>”</w:t>
      </w:r>
      <w:r w:rsidR="005A07F6">
        <w:t xml:space="preserve"> and evaluations of resident assistants.  Salient </w:t>
      </w:r>
      <w:r w:rsidR="009E6D4D">
        <w:t>results are shared with staff at the annual staff retreat where plans for program improvement are made.</w:t>
      </w:r>
    </w:p>
    <w:p w:rsidR="00BF6806" w:rsidRDefault="00BF6806" w:rsidP="00CA102A">
      <w:pPr>
        <w:rPr>
          <w:b/>
        </w:rPr>
      </w:pPr>
      <w:r w:rsidRPr="00BF1A08">
        <w:rPr>
          <w:b/>
        </w:rPr>
        <w:lastRenderedPageBreak/>
        <w:t>Greek Life</w:t>
      </w:r>
    </w:p>
    <w:p w:rsidR="00B3598E" w:rsidRPr="00B3598E" w:rsidRDefault="00F15EBA" w:rsidP="00B3598E">
      <w:r>
        <w:t>Known nationally as the “mother of f</w:t>
      </w:r>
      <w:r w:rsidR="00B3598E" w:rsidRPr="00B3598E">
        <w:t xml:space="preserve">raternities,” Miami University is host to 49 fraternal organizations with </w:t>
      </w:r>
      <w:r w:rsidR="000B3E17">
        <w:t>approximately 4,400 members or 32</w:t>
      </w:r>
      <w:r w:rsidR="00B3598E" w:rsidRPr="00B3598E">
        <w:t xml:space="preserve">% </w:t>
      </w:r>
      <w:r w:rsidR="000B3E17">
        <w:t>of the undergraduate population</w:t>
      </w:r>
      <w:r w:rsidR="00B1255E">
        <w:t xml:space="preserve">.  After </w:t>
      </w:r>
      <w:r w:rsidR="00AA5EB5">
        <w:t xml:space="preserve">a </w:t>
      </w:r>
      <w:r w:rsidR="00B1255E">
        <w:t>ten-year trend of declining membership</w:t>
      </w:r>
      <w:r w:rsidR="00B3598E" w:rsidRPr="00B3598E">
        <w:t>, the Greek community has rallied in the past three years with growing chapters and a consistent commitment to enhance the personal development of its members.  Academically, Greek students boast a 3.14 overall GPA, compared to a 3.05 for their non-affiliated counterparts. </w:t>
      </w:r>
    </w:p>
    <w:p w:rsidR="00B3598E" w:rsidRPr="00B3598E" w:rsidRDefault="000B3E17" w:rsidP="00B3598E">
      <w:r>
        <w:t xml:space="preserve">In </w:t>
      </w:r>
      <w:r w:rsidR="00B3598E" w:rsidRPr="00B3598E">
        <w:t>2005</w:t>
      </w:r>
      <w:r w:rsidR="001E2CE6">
        <w:t>, Greek leaders identified the five core p</w:t>
      </w:r>
      <w:r w:rsidR="00B3598E" w:rsidRPr="00B3598E">
        <w:t>rinc</w:t>
      </w:r>
      <w:r w:rsidR="001E2CE6">
        <w:t>iples of the Greek community:  scholarship &amp; learning, community service &amp; philanthropy, community, leadership, and brotherhood &amp; s</w:t>
      </w:r>
      <w:r w:rsidR="00B3598E" w:rsidRPr="00B3598E">
        <w:t xml:space="preserve">isterhood.  </w:t>
      </w:r>
      <w:r w:rsidR="001E2CE6">
        <w:t>New m</w:t>
      </w:r>
      <w:r w:rsidR="00B3598E" w:rsidRPr="00B3598E">
        <w:t>ember recruitment, chapter and chapter member recognition, leadership and other educational programs all focus on these core principles, making for a consistent message to Greek students at all le</w:t>
      </w:r>
      <w:r w:rsidR="00937A85">
        <w:t>vels of their Greek experience</w:t>
      </w:r>
      <w:r w:rsidR="00FF4096">
        <w:t xml:space="preserve"> </w:t>
      </w:r>
      <w:r w:rsidR="00004264">
        <w:t>and setting</w:t>
      </w:r>
      <w:r w:rsidR="00B3598E" w:rsidRPr="00B3598E">
        <w:t xml:space="preserve"> Miami apart from most other campuses.  </w:t>
      </w:r>
    </w:p>
    <w:p w:rsidR="00967787" w:rsidRDefault="00937A85" w:rsidP="004B7DBE">
      <w:pPr>
        <w:rPr>
          <w:rStyle w:val="apple-converted-space"/>
        </w:rPr>
      </w:pPr>
      <w:r>
        <w:t>T</w:t>
      </w:r>
      <w:r w:rsidR="004B7DBE">
        <w:t>he</w:t>
      </w:r>
      <w:r w:rsidR="004B7DBE" w:rsidRPr="004B7DBE">
        <w:t xml:space="preserve"> Cliff Alexander Office of Fraternity and Sorority Life </w:t>
      </w:r>
      <w:r w:rsidR="00B3598E">
        <w:t>(the first and only endowed Greek Life Office in the country)</w:t>
      </w:r>
      <w:r>
        <w:t xml:space="preserve"> guides the promotion of these principles and </w:t>
      </w:r>
      <w:r w:rsidR="00967787">
        <w:rPr>
          <w:rStyle w:val="apple-converted-space"/>
        </w:rPr>
        <w:t>provides the following forms of support:</w:t>
      </w:r>
    </w:p>
    <w:p w:rsidR="002E2FEB" w:rsidRDefault="002E2FEB" w:rsidP="00F5054C">
      <w:pPr>
        <w:pStyle w:val="ListParagraph"/>
        <w:numPr>
          <w:ilvl w:val="0"/>
          <w:numId w:val="78"/>
        </w:numPr>
        <w:rPr>
          <w:rStyle w:val="apple-converted-space"/>
        </w:rPr>
      </w:pPr>
      <w:r>
        <w:rPr>
          <w:rStyle w:val="apple-converted-space"/>
        </w:rPr>
        <w:t>Facilitating the Greek Governing Council</w:t>
      </w:r>
      <w:r w:rsidR="00937A85">
        <w:rPr>
          <w:rStyle w:val="apple-converted-space"/>
        </w:rPr>
        <w:t>;</w:t>
      </w:r>
    </w:p>
    <w:p w:rsidR="00967787" w:rsidRPr="002E2FEB" w:rsidRDefault="00967787" w:rsidP="00F5054C">
      <w:pPr>
        <w:pStyle w:val="ListParagraph"/>
        <w:numPr>
          <w:ilvl w:val="0"/>
          <w:numId w:val="78"/>
        </w:numPr>
        <w:rPr>
          <w:rStyle w:val="apple-converted-space"/>
        </w:rPr>
      </w:pPr>
      <w:r w:rsidRPr="002E2FEB">
        <w:rPr>
          <w:rStyle w:val="apple-converted-space"/>
        </w:rPr>
        <w:t>Coordinating the Inter-Fraternity Council which consists of ten e</w:t>
      </w:r>
      <w:r w:rsidR="00547D6E" w:rsidRPr="002E2FEB">
        <w:rPr>
          <w:rStyle w:val="apple-converted-space"/>
        </w:rPr>
        <w:t>lected members, presides over</w:t>
      </w:r>
      <w:r w:rsidRPr="002E2FEB">
        <w:rPr>
          <w:rStyle w:val="apple-converted-space"/>
        </w:rPr>
        <w:t xml:space="preserve"> fraternity chapters</w:t>
      </w:r>
      <w:r w:rsidR="00547D6E" w:rsidRPr="002E2FEB">
        <w:rPr>
          <w:rStyle w:val="apple-converted-space"/>
        </w:rPr>
        <w:t>,</w:t>
      </w:r>
      <w:r w:rsidR="00C244D6" w:rsidRPr="002E2FEB">
        <w:rPr>
          <w:rStyle w:val="apple-converted-space"/>
        </w:rPr>
        <w:t xml:space="preserve"> </w:t>
      </w:r>
      <w:r w:rsidRPr="002E2FEB">
        <w:rPr>
          <w:rStyle w:val="apple-converted-space"/>
        </w:rPr>
        <w:t>and hosts events and programs to enhance leadership development a</w:t>
      </w:r>
      <w:r w:rsidR="00937A85">
        <w:rPr>
          <w:rStyle w:val="apple-converted-space"/>
        </w:rPr>
        <w:t>nd collaboration among chapters;</w:t>
      </w:r>
    </w:p>
    <w:p w:rsidR="00547D6E" w:rsidRPr="002E2FEB" w:rsidRDefault="00547D6E" w:rsidP="00F5054C">
      <w:pPr>
        <w:pStyle w:val="ListParagraph"/>
        <w:numPr>
          <w:ilvl w:val="0"/>
          <w:numId w:val="78"/>
        </w:numPr>
      </w:pPr>
      <w:r w:rsidRPr="002E2FEB">
        <w:t xml:space="preserve">Supporting the </w:t>
      </w:r>
      <w:r w:rsidR="002E2FEB" w:rsidRPr="002E2FEB">
        <w:t xml:space="preserve">Panhellenic Council which is the coordinating body for activities that promote the common interests of Miami’s sororities and the </w:t>
      </w:r>
      <w:r w:rsidRPr="002E2FEB">
        <w:t>National Panhellenic Council which governs Miami’s traditional African American fraternities and sororities</w:t>
      </w:r>
      <w:r w:rsidR="00937A85">
        <w:t>;</w:t>
      </w:r>
    </w:p>
    <w:p w:rsidR="006C1FCC" w:rsidRPr="002E2FEB" w:rsidRDefault="006C1FCC" w:rsidP="00F5054C">
      <w:pPr>
        <w:pStyle w:val="ListParagraph"/>
        <w:numPr>
          <w:ilvl w:val="0"/>
          <w:numId w:val="78"/>
        </w:numPr>
      </w:pPr>
      <w:r w:rsidRPr="002E2FEB">
        <w:rPr>
          <w:rStyle w:val="apple-converted-space"/>
        </w:rPr>
        <w:t xml:space="preserve">Enacting the </w:t>
      </w:r>
      <w:r w:rsidRPr="002E2FEB">
        <w:t>Community Advancement Program which is the minimum standards program for the fraternity and sorori</w:t>
      </w:r>
      <w:r w:rsidR="00937A85">
        <w:t>ty community;</w:t>
      </w:r>
    </w:p>
    <w:p w:rsidR="006C1FCC" w:rsidRPr="002E2FEB" w:rsidRDefault="00E85500" w:rsidP="00F5054C">
      <w:pPr>
        <w:pStyle w:val="ListParagraph"/>
        <w:numPr>
          <w:ilvl w:val="0"/>
          <w:numId w:val="78"/>
        </w:numPr>
        <w:rPr>
          <w:rStyle w:val="apple-converted-space"/>
        </w:rPr>
      </w:pPr>
      <w:r w:rsidRPr="002E2FEB">
        <w:rPr>
          <w:rStyle w:val="apple-converted-space"/>
        </w:rPr>
        <w:t>Selecting the fraternal excellence awards</w:t>
      </w:r>
      <w:r w:rsidR="00937A85">
        <w:rPr>
          <w:rStyle w:val="apple-converted-space"/>
        </w:rPr>
        <w:t>;</w:t>
      </w:r>
    </w:p>
    <w:p w:rsidR="00E85500" w:rsidRDefault="00E85500" w:rsidP="00F5054C">
      <w:pPr>
        <w:pStyle w:val="ListParagraph"/>
        <w:numPr>
          <w:ilvl w:val="0"/>
          <w:numId w:val="78"/>
        </w:numPr>
        <w:rPr>
          <w:rStyle w:val="apple-converted-space"/>
        </w:rPr>
      </w:pPr>
      <w:r w:rsidRPr="002E2FEB">
        <w:rPr>
          <w:rStyle w:val="apple-converted-space"/>
        </w:rPr>
        <w:t>Organizing Greek Week and the MUGreekService blog</w:t>
      </w:r>
      <w:r w:rsidR="00937A85">
        <w:rPr>
          <w:rStyle w:val="apple-converted-space"/>
        </w:rPr>
        <w:t>;</w:t>
      </w:r>
    </w:p>
    <w:p w:rsidR="005C15E6" w:rsidRPr="002E2FEB" w:rsidRDefault="005C15E6" w:rsidP="00F5054C">
      <w:pPr>
        <w:pStyle w:val="ListParagraph"/>
        <w:numPr>
          <w:ilvl w:val="0"/>
          <w:numId w:val="78"/>
        </w:numPr>
        <w:rPr>
          <w:rStyle w:val="apple-converted-space"/>
        </w:rPr>
      </w:pPr>
      <w:r>
        <w:rPr>
          <w:rStyle w:val="apple-converted-space"/>
        </w:rPr>
        <w:t>Coordinating hazing prevention programming</w:t>
      </w:r>
      <w:r w:rsidR="00937A85">
        <w:rPr>
          <w:rStyle w:val="apple-converted-space"/>
        </w:rPr>
        <w:t>;</w:t>
      </w:r>
    </w:p>
    <w:p w:rsidR="005B0ED7" w:rsidRPr="002E2FEB" w:rsidRDefault="005B0ED7" w:rsidP="00F5054C">
      <w:pPr>
        <w:pStyle w:val="ListParagraph"/>
        <w:numPr>
          <w:ilvl w:val="0"/>
          <w:numId w:val="78"/>
        </w:numPr>
        <w:rPr>
          <w:rStyle w:val="apple-converted-space"/>
        </w:rPr>
      </w:pPr>
      <w:r w:rsidRPr="002E2FEB">
        <w:rPr>
          <w:rStyle w:val="apple-converted-space"/>
        </w:rPr>
        <w:t>Facilitating leadership and service opportunities, such as the Greek S</w:t>
      </w:r>
      <w:r w:rsidR="00F800EB">
        <w:rPr>
          <w:rStyle w:val="apple-converted-space"/>
        </w:rPr>
        <w:t>pring Clean</w:t>
      </w:r>
      <w:r w:rsidR="00937A85">
        <w:rPr>
          <w:rStyle w:val="apple-converted-space"/>
        </w:rPr>
        <w:t>;</w:t>
      </w:r>
    </w:p>
    <w:p w:rsidR="005B0ED7" w:rsidRPr="002E2FEB" w:rsidRDefault="005B0ED7" w:rsidP="00F5054C">
      <w:pPr>
        <w:pStyle w:val="ListParagraph"/>
        <w:numPr>
          <w:ilvl w:val="0"/>
          <w:numId w:val="78"/>
        </w:numPr>
        <w:rPr>
          <w:rStyle w:val="apple-converted-space"/>
        </w:rPr>
      </w:pPr>
      <w:r w:rsidRPr="002E2FEB">
        <w:rPr>
          <w:rStyle w:val="apple-converted-space"/>
        </w:rPr>
        <w:t>Providing handbooks and guides for parents and students</w:t>
      </w:r>
      <w:r w:rsidR="00937A85">
        <w:rPr>
          <w:rStyle w:val="apple-converted-space"/>
        </w:rPr>
        <w:t>;</w:t>
      </w:r>
    </w:p>
    <w:p w:rsidR="005B0ED7" w:rsidRPr="002E2FEB" w:rsidRDefault="005B0ED7" w:rsidP="00F5054C">
      <w:pPr>
        <w:pStyle w:val="ListParagraph"/>
        <w:numPr>
          <w:ilvl w:val="0"/>
          <w:numId w:val="78"/>
        </w:numPr>
        <w:rPr>
          <w:rStyle w:val="apple-converted-space"/>
        </w:rPr>
      </w:pPr>
      <w:r w:rsidRPr="002E2FEB">
        <w:rPr>
          <w:rStyle w:val="apple-converted-space"/>
        </w:rPr>
        <w:t xml:space="preserve">Conducting evaluations and assessment of Greek life, including </w:t>
      </w:r>
      <w:r w:rsidR="00E80896">
        <w:rPr>
          <w:rStyle w:val="apple-converted-space"/>
        </w:rPr>
        <w:t xml:space="preserve">tracking </w:t>
      </w:r>
      <w:r w:rsidRPr="002E2FEB">
        <w:rPr>
          <w:rStyle w:val="apple-converted-space"/>
        </w:rPr>
        <w:t>membership totals, volunteer hours</w:t>
      </w:r>
      <w:r w:rsidR="00AC6522" w:rsidRPr="002E2FEB">
        <w:rPr>
          <w:rStyle w:val="apple-converted-space"/>
        </w:rPr>
        <w:t xml:space="preserve">, funds raised, and academic standings </w:t>
      </w:r>
      <w:r w:rsidR="00E80896">
        <w:rPr>
          <w:rStyle w:val="apple-converted-space"/>
        </w:rPr>
        <w:t xml:space="preserve">as well as retention and graduation rates </w:t>
      </w:r>
      <w:r w:rsidR="00AC6522" w:rsidRPr="002E2FEB">
        <w:rPr>
          <w:rStyle w:val="apple-converted-space"/>
        </w:rPr>
        <w:t>of members.</w:t>
      </w:r>
    </w:p>
    <w:p w:rsidR="00BF6806" w:rsidRDefault="00BF6806" w:rsidP="00CA102A">
      <w:pPr>
        <w:rPr>
          <w:b/>
        </w:rPr>
      </w:pPr>
      <w:r w:rsidRPr="00BF1A08">
        <w:rPr>
          <w:b/>
        </w:rPr>
        <w:t xml:space="preserve">Athletics &amp; </w:t>
      </w:r>
      <w:r w:rsidR="006E3A4F">
        <w:rPr>
          <w:b/>
        </w:rPr>
        <w:t>Sport</w:t>
      </w:r>
    </w:p>
    <w:p w:rsidR="00941C98" w:rsidRDefault="00D9617D" w:rsidP="00941C98">
      <w:r>
        <w:t>With eight men's</w:t>
      </w:r>
      <w:r w:rsidR="00691FD2" w:rsidRPr="00941C98">
        <w:t xml:space="preserve"> and ten women's </w:t>
      </w:r>
      <w:r w:rsidR="00AA5EB5">
        <w:t xml:space="preserve">intercollegiate </w:t>
      </w:r>
      <w:r w:rsidR="00691FD2" w:rsidRPr="00941C98">
        <w:t>teams, Miami Universit</w:t>
      </w:r>
      <w:r w:rsidR="00F800EB">
        <w:t>y Athletics has a proud</w:t>
      </w:r>
      <w:r w:rsidR="00691FD2" w:rsidRPr="00941C98">
        <w:t xml:space="preserve"> tradition. The RedHawks compete in the NCAA Division I Mid-American Conference, the National Collegiate Hockey Conference, and the U.S. Figure Skating Association. </w:t>
      </w:r>
      <w:r w:rsidR="005A07F6" w:rsidRPr="00941C98">
        <w:t>Over the past seven years, the number of student-athletes has consiste</w:t>
      </w:r>
      <w:r w:rsidR="00AA5EB5">
        <w:t xml:space="preserve">ntly grown to </w:t>
      </w:r>
      <w:r w:rsidR="005A07F6" w:rsidRPr="00941C98">
        <w:t>550. </w:t>
      </w:r>
      <w:r>
        <w:t>Miami a</w:t>
      </w:r>
      <w:r w:rsidR="00941C98" w:rsidRPr="00941C98">
        <w:t xml:space="preserve">thletics traditionally graduates their student-athletes at a significantly higher rate than our Mid-American Conference counterparts and </w:t>
      </w:r>
      <w:r w:rsidR="00F800EB">
        <w:t xml:space="preserve">is </w:t>
      </w:r>
      <w:r w:rsidR="00941C98" w:rsidRPr="00941C98">
        <w:t>among the national leaders of public institutions.  Many factors go</w:t>
      </w:r>
      <w:r>
        <w:t xml:space="preserve"> into this success</w:t>
      </w:r>
      <w:r w:rsidR="00F800EB">
        <w:t xml:space="preserve"> such as</w:t>
      </w:r>
      <w:r w:rsidR="00941C98" w:rsidRPr="00941C98">
        <w:t xml:space="preserve"> academic reputation of the institutio</w:t>
      </w:r>
      <w:r>
        <w:t xml:space="preserve">n, academic coordinator support, </w:t>
      </w:r>
      <w:r w:rsidR="00941C98" w:rsidRPr="00941C98">
        <w:t>and comprehensive recruiting by our coaching staffs.</w:t>
      </w:r>
      <w:r w:rsidR="00941C98">
        <w:t xml:space="preserve"> </w:t>
      </w:r>
      <w:r w:rsidR="00941C98" w:rsidRPr="00941C98">
        <w:t xml:space="preserve">Miami women's sports teams over the past years have won the Mid-American Conference Jacoby Trophy for </w:t>
      </w:r>
      <w:r w:rsidR="00DE1FA4">
        <w:t xml:space="preserve">its outstanding success in </w:t>
      </w:r>
      <w:r w:rsidR="00941C98" w:rsidRPr="00941C98">
        <w:t>al</w:t>
      </w:r>
      <w:r w:rsidR="00941C98">
        <w:t>l sports</w:t>
      </w:r>
      <w:r w:rsidR="00941C98" w:rsidRPr="00941C98">
        <w:t>. </w:t>
      </w:r>
    </w:p>
    <w:p w:rsidR="00691FD2" w:rsidRDefault="00C251E3" w:rsidP="006E3A4F">
      <w:r>
        <w:t>Miami club s</w:t>
      </w:r>
      <w:r w:rsidR="00691FD2">
        <w:t>ports boasts one of the largest programs in the country</w:t>
      </w:r>
      <w:r w:rsidR="006E3A4F">
        <w:t xml:space="preserve"> with 50 dedicated teams</w:t>
      </w:r>
      <w:r w:rsidR="00691FD2">
        <w:t>. While some club sports have coaches, m</w:t>
      </w:r>
      <w:r w:rsidR="00AA5EB5">
        <w:t>ost are completely student-managed</w:t>
      </w:r>
      <w:r w:rsidR="00D9617D">
        <w:t xml:space="preserve"> through a set</w:t>
      </w:r>
      <w:r w:rsidR="00691FD2">
        <w:t xml:space="preserve"> of student officers. Students experience a </w:t>
      </w:r>
      <w:r w:rsidR="00691FD2">
        <w:lastRenderedPageBreak/>
        <w:t>unique combination of community and commitment while competing for national titles and developing real-world leadership skills.</w:t>
      </w:r>
    </w:p>
    <w:p w:rsidR="00FC4C96" w:rsidRDefault="006F1B9C" w:rsidP="006F1B9C">
      <w:r>
        <w:rPr>
          <w:rFonts w:eastAsia="Times New Roman"/>
        </w:rPr>
        <w:t xml:space="preserve">One </w:t>
      </w:r>
      <w:r w:rsidR="00FC4C96" w:rsidRPr="00FC4C96">
        <w:rPr>
          <w:rFonts w:eastAsia="Times New Roman"/>
        </w:rPr>
        <w:t>of the first institutions in America to establish a program of intramural sports for students</w:t>
      </w:r>
      <w:r>
        <w:rPr>
          <w:rFonts w:eastAsia="Times New Roman"/>
        </w:rPr>
        <w:t>, Miam</w:t>
      </w:r>
      <w:r w:rsidR="00412901">
        <w:rPr>
          <w:rFonts w:eastAsia="Times New Roman"/>
        </w:rPr>
        <w:t xml:space="preserve">i also offers students, faculty, </w:t>
      </w:r>
      <w:r>
        <w:rPr>
          <w:rFonts w:eastAsia="Times New Roman"/>
        </w:rPr>
        <w:t xml:space="preserve">and staff intramural activities that provide </w:t>
      </w:r>
      <w:r w:rsidR="00FC4C96" w:rsidRPr="00FC4C96">
        <w:rPr>
          <w:rFonts w:eastAsia="Times New Roman"/>
        </w:rPr>
        <w:t>an opportunity to participate in a sport of their choice regardless of phy</w:t>
      </w:r>
      <w:r>
        <w:rPr>
          <w:rFonts w:eastAsia="Times New Roman"/>
        </w:rPr>
        <w:t>sical abilities and skill level, including</w:t>
      </w:r>
      <w:r w:rsidR="00FC4C96" w:rsidRPr="00FC4C96">
        <w:rPr>
          <w:rFonts w:eastAsia="Times New Roman"/>
        </w:rPr>
        <w:t xml:space="preserve"> leagues, tournaments, individual and dual events for males, fem</w:t>
      </w:r>
      <w:r w:rsidR="00412901">
        <w:rPr>
          <w:rFonts w:eastAsia="Times New Roman"/>
        </w:rPr>
        <w:t>ales</w:t>
      </w:r>
      <w:r w:rsidR="00DE1FA4">
        <w:rPr>
          <w:rFonts w:eastAsia="Times New Roman"/>
        </w:rPr>
        <w:t>,</w:t>
      </w:r>
      <w:r w:rsidR="00412901">
        <w:rPr>
          <w:rFonts w:eastAsia="Times New Roman"/>
        </w:rPr>
        <w:t xml:space="preserve"> and co-</w:t>
      </w:r>
      <w:r w:rsidR="00DE1FA4">
        <w:rPr>
          <w:rFonts w:eastAsia="Times New Roman"/>
        </w:rPr>
        <w:t xml:space="preserve">educational </w:t>
      </w:r>
      <w:r w:rsidR="00412901">
        <w:rPr>
          <w:rFonts w:eastAsia="Times New Roman"/>
        </w:rPr>
        <w:t>recreational teams.</w:t>
      </w:r>
    </w:p>
    <w:p w:rsidR="006E3A4F" w:rsidRDefault="006E3A4F" w:rsidP="006E3A4F">
      <w:r>
        <w:t>In addition to these team opportunities, students can take advantage of the following recreational sports facilities:</w:t>
      </w:r>
    </w:p>
    <w:p w:rsidR="00412901" w:rsidRDefault="006E3A4F" w:rsidP="00F5054C">
      <w:pPr>
        <w:pStyle w:val="ListParagraph"/>
        <w:numPr>
          <w:ilvl w:val="0"/>
          <w:numId w:val="79"/>
        </w:numPr>
      </w:pPr>
      <w:r w:rsidRPr="00DC10DE">
        <w:rPr>
          <w:b/>
        </w:rPr>
        <w:t>Recreational Sports Center</w:t>
      </w:r>
      <w:r w:rsidRPr="009D132E">
        <w:t xml:space="preserve"> which is a stat</w:t>
      </w:r>
      <w:r w:rsidR="009D132E" w:rsidRPr="009D132E">
        <w:t>e</w:t>
      </w:r>
      <w:r w:rsidRPr="009D132E">
        <w:t xml:space="preserve">-of-the-art facility that includes </w:t>
      </w:r>
      <w:r w:rsidR="00691FD2" w:rsidRPr="009D132E">
        <w:t xml:space="preserve">courts for basketball, volleyball, indoor soccer, and racquetball; an Aquatic Center with two swimming pools; aerobics rooms; an indoor jogging track; a climbing wall; and a two-story fitness center. </w:t>
      </w:r>
    </w:p>
    <w:p w:rsidR="00691FD2" w:rsidRPr="009D132E" w:rsidRDefault="009D132E" w:rsidP="00F5054C">
      <w:pPr>
        <w:pStyle w:val="ListParagraph"/>
        <w:numPr>
          <w:ilvl w:val="0"/>
          <w:numId w:val="79"/>
        </w:numPr>
      </w:pPr>
      <w:r w:rsidRPr="00DC10DE">
        <w:rPr>
          <w:b/>
        </w:rPr>
        <w:t>Goggin Ice Center</w:t>
      </w:r>
      <w:r w:rsidRPr="009D132E">
        <w:t xml:space="preserve"> which is home to Miami’s hockey games and contains </w:t>
      </w:r>
      <w:r w:rsidR="00691FD2" w:rsidRPr="009D132E">
        <w:t>two ice rinks available for public skating, broomball, summer camps, and community lessons. In addition, Goggin's intramural program</w:t>
      </w:r>
      <w:r w:rsidR="00412901">
        <w:t>, which features the popular team sport, broomball,</w:t>
      </w:r>
      <w:r w:rsidR="00691FD2" w:rsidRPr="009D132E">
        <w:t xml:space="preserve"> is the largest of its kind in the country.</w:t>
      </w:r>
    </w:p>
    <w:p w:rsidR="00691FD2" w:rsidRDefault="009D132E" w:rsidP="00F5054C">
      <w:pPr>
        <w:pStyle w:val="ListParagraph"/>
        <w:numPr>
          <w:ilvl w:val="0"/>
          <w:numId w:val="79"/>
        </w:numPr>
      </w:pPr>
      <w:r w:rsidRPr="00DC10DE">
        <w:rPr>
          <w:b/>
        </w:rPr>
        <w:t>Outdoor Pursuit Center</w:t>
      </w:r>
      <w:r w:rsidRPr="009D132E">
        <w:t xml:space="preserve"> which, along </w:t>
      </w:r>
      <w:r w:rsidR="00691FD2" w:rsidRPr="009D132E">
        <w:t>with adventure outings such as camping, hiking, canoeing,</w:t>
      </w:r>
      <w:r w:rsidRPr="009D132E">
        <w:t xml:space="preserve"> and rafting trips, </w:t>
      </w:r>
      <w:r w:rsidR="0019312D">
        <w:t xml:space="preserve">offers equipment rental, </w:t>
      </w:r>
      <w:r w:rsidR="00691FD2" w:rsidRPr="009D132E">
        <w:t>sponsors after</w:t>
      </w:r>
      <w:r w:rsidR="0019312D">
        <w:t xml:space="preserve">-school youth programs, and </w:t>
      </w:r>
      <w:r w:rsidR="00691FD2" w:rsidRPr="009D132E">
        <w:t>provides opportunities for both study abroad and team building.</w:t>
      </w:r>
    </w:p>
    <w:p w:rsidR="00CC4D47" w:rsidRDefault="00BF6806" w:rsidP="00CA102A">
      <w:pPr>
        <w:rPr>
          <w:b/>
        </w:rPr>
      </w:pPr>
      <w:r w:rsidRPr="00BF1A08">
        <w:rPr>
          <w:b/>
        </w:rPr>
        <w:t xml:space="preserve">Leadership </w:t>
      </w:r>
      <w:r w:rsidR="00CC4D47" w:rsidRPr="00BF1A08">
        <w:rPr>
          <w:b/>
        </w:rPr>
        <w:t>Opportunities</w:t>
      </w:r>
    </w:p>
    <w:p w:rsidR="001603BC" w:rsidRDefault="001603BC" w:rsidP="001603BC">
      <w:r>
        <w:t>Miami</w:t>
      </w:r>
      <w:r w:rsidR="00FA19B0">
        <w:t xml:space="preserve"> students enjoy a plethora of </w:t>
      </w:r>
      <w:r>
        <w:t xml:space="preserve">leadership opportunities, ranging from leadership courses, </w:t>
      </w:r>
      <w:r w:rsidR="00975CA1">
        <w:t xml:space="preserve">speaker series, </w:t>
      </w:r>
      <w:r>
        <w:t>workshops, conferences, and honor societies to programs dedicated to leadership development</w:t>
      </w:r>
      <w:r w:rsidR="00975CA1">
        <w:t>—many of which are organized by the Wilks Leadership Institute</w:t>
      </w:r>
      <w:r w:rsidR="0019312D">
        <w:t>. Some of the highlights</w:t>
      </w:r>
      <w:r w:rsidR="00415B5E">
        <w:t>:</w:t>
      </w:r>
    </w:p>
    <w:p w:rsidR="00415B5E" w:rsidRPr="000F7A1D" w:rsidRDefault="00415B5E" w:rsidP="00F5054C">
      <w:pPr>
        <w:pStyle w:val="ListParagraph"/>
        <w:numPr>
          <w:ilvl w:val="0"/>
          <w:numId w:val="80"/>
        </w:numPr>
      </w:pPr>
      <w:r w:rsidRPr="00DC10DE">
        <w:rPr>
          <w:b/>
        </w:rPr>
        <w:t>U-Lead</w:t>
      </w:r>
      <w:r w:rsidRPr="000F7A1D">
        <w:t xml:space="preserve"> is an annual, four-day leadership development pre-semester experience for 25 incoming first year Miami students. </w:t>
      </w:r>
    </w:p>
    <w:p w:rsidR="00415B5E" w:rsidRPr="000F7A1D" w:rsidRDefault="00415B5E" w:rsidP="00F5054C">
      <w:pPr>
        <w:pStyle w:val="ListParagraph"/>
        <w:numPr>
          <w:ilvl w:val="0"/>
          <w:numId w:val="80"/>
        </w:numPr>
      </w:pPr>
      <w:r w:rsidRPr="00DC10DE">
        <w:rPr>
          <w:b/>
        </w:rPr>
        <w:t>Scholar Leader Program</w:t>
      </w:r>
      <w:r w:rsidR="00975CA1" w:rsidRPr="000F7A1D">
        <w:t xml:space="preserve"> is an</w:t>
      </w:r>
      <w:r w:rsidR="002520B0" w:rsidRPr="000F7A1D">
        <w:t xml:space="preserve"> upper-class residential living-learning community involving a one-year residence in Elliott or Stoddard Halls - two of the most historic residence halls in the nation. Endowments for each room provide partial scholarship to those students selected to live in the community. Each year, approximately 75 st</w:t>
      </w:r>
      <w:r w:rsidR="007A436D">
        <w:t>udents are invited to join the scholar leader c</w:t>
      </w:r>
      <w:r w:rsidR="002520B0" w:rsidRPr="000F7A1D">
        <w:t>ommunity after a multi-stage application and selecti</w:t>
      </w:r>
      <w:r w:rsidR="007A436D">
        <w:t>on process. The c</w:t>
      </w:r>
      <w:r w:rsidR="002520B0" w:rsidRPr="000F7A1D">
        <w:t>ommunity encourages resident-guided programming, academic involvement, service learning projects</w:t>
      </w:r>
      <w:r w:rsidR="007A436D">
        <w:t>, and</w:t>
      </w:r>
      <w:r w:rsidR="002520B0" w:rsidRPr="000F7A1D">
        <w:t xml:space="preserve"> leadership</w:t>
      </w:r>
      <w:r w:rsidR="007A436D">
        <w:t xml:space="preserve"> exploration</w:t>
      </w:r>
      <w:r w:rsidR="002520B0" w:rsidRPr="000F7A1D">
        <w:t xml:space="preserve"> through intensive group engagement.</w:t>
      </w:r>
      <w:r w:rsidR="002520B0" w:rsidRPr="000F7A1D">
        <w:rPr>
          <w:rStyle w:val="apple-converted-space"/>
        </w:rPr>
        <w:t> </w:t>
      </w:r>
    </w:p>
    <w:p w:rsidR="00415B5E" w:rsidRPr="000F7A1D" w:rsidRDefault="00415B5E" w:rsidP="00F5054C">
      <w:pPr>
        <w:pStyle w:val="ListParagraph"/>
        <w:numPr>
          <w:ilvl w:val="0"/>
          <w:numId w:val="80"/>
        </w:numPr>
      </w:pPr>
      <w:r w:rsidRPr="00DC10DE">
        <w:rPr>
          <w:b/>
        </w:rPr>
        <w:t>Lockheed Martin Leadership Institute</w:t>
      </w:r>
      <w:r w:rsidR="0019312D">
        <w:t xml:space="preserve"> </w:t>
      </w:r>
      <w:r w:rsidR="008663E3" w:rsidRPr="000F7A1D">
        <w:t>provides an intensive three-year leadership certificate program and other events and workshops for students in the College of Engineering &amp; Computing</w:t>
      </w:r>
      <w:r w:rsidR="0019312D">
        <w:t>.</w:t>
      </w:r>
    </w:p>
    <w:p w:rsidR="002520B0" w:rsidRPr="000F7A1D" w:rsidRDefault="002520B0" w:rsidP="00F5054C">
      <w:pPr>
        <w:pStyle w:val="ListParagraph"/>
        <w:numPr>
          <w:ilvl w:val="0"/>
          <w:numId w:val="80"/>
        </w:numPr>
      </w:pPr>
      <w:r w:rsidRPr="00DC10DE">
        <w:rPr>
          <w:b/>
        </w:rPr>
        <w:t>LeaderShape Institute</w:t>
      </w:r>
      <w:r w:rsidRPr="000F7A1D">
        <w:t xml:space="preserve"> which an intensive, six-day, and selective experience designed to develop </w:t>
      </w:r>
      <w:r w:rsidR="00DE1FA4">
        <w:t>Miami students</w:t>
      </w:r>
      <w:r w:rsidRPr="000F7A1D">
        <w:t xml:space="preserve"> who lead with integrity.</w:t>
      </w:r>
      <w:r w:rsidRPr="000F7A1D">
        <w:rPr>
          <w:rStyle w:val="apple-converted-space"/>
        </w:rPr>
        <w:t> </w:t>
      </w:r>
    </w:p>
    <w:p w:rsidR="000F7A1D" w:rsidRDefault="00415B5E" w:rsidP="00F5054C">
      <w:pPr>
        <w:pStyle w:val="ListParagraph"/>
        <w:numPr>
          <w:ilvl w:val="0"/>
          <w:numId w:val="80"/>
        </w:numPr>
      </w:pPr>
      <w:r w:rsidRPr="00DC10DE">
        <w:rPr>
          <w:b/>
        </w:rPr>
        <w:t>Buck Ro</w:t>
      </w:r>
      <w:r w:rsidR="00FF4096" w:rsidRPr="00DC10DE">
        <w:rPr>
          <w:b/>
        </w:rPr>
        <w:t>d</w:t>
      </w:r>
      <w:r w:rsidRPr="00DC10DE">
        <w:rPr>
          <w:b/>
        </w:rPr>
        <w:t xml:space="preserve">gers </w:t>
      </w:r>
      <w:r w:rsidR="000F7A1D" w:rsidRPr="00DC10DE">
        <w:rPr>
          <w:b/>
        </w:rPr>
        <w:t xml:space="preserve">Business </w:t>
      </w:r>
      <w:r w:rsidRPr="00DC10DE">
        <w:rPr>
          <w:b/>
        </w:rPr>
        <w:t xml:space="preserve">Leadership </w:t>
      </w:r>
      <w:r w:rsidR="000F7A1D" w:rsidRPr="00DC10DE">
        <w:rPr>
          <w:b/>
        </w:rPr>
        <w:t>Program</w:t>
      </w:r>
      <w:r w:rsidR="000F7A1D" w:rsidRPr="000F7A1D">
        <w:t xml:space="preserve"> offers a combination of leadership assessments, practical leadership opportunities, academic studies of leadership, access to top business leaders, and service opportunities for select students in the Farmer School of Business.</w:t>
      </w:r>
    </w:p>
    <w:p w:rsidR="005C15E6" w:rsidRPr="000F7A1D" w:rsidRDefault="005C15E6" w:rsidP="005C15E6">
      <w:r>
        <w:t>Each of these programs has assessment strategies, in</w:t>
      </w:r>
      <w:r w:rsidR="00FA19B0">
        <w:t xml:space="preserve">cluding portfolios, surveys, program </w:t>
      </w:r>
      <w:r>
        <w:t>evaluations, and focus groups.</w:t>
      </w:r>
    </w:p>
    <w:p w:rsidR="00BF6806" w:rsidRDefault="00BF6806" w:rsidP="00CA102A">
      <w:pPr>
        <w:rPr>
          <w:b/>
        </w:rPr>
      </w:pPr>
      <w:r w:rsidRPr="00691FD2">
        <w:rPr>
          <w:b/>
        </w:rPr>
        <w:t>Student Organizations</w:t>
      </w:r>
    </w:p>
    <w:p w:rsidR="00E11BCB" w:rsidRPr="005966BF" w:rsidRDefault="003A33CE" w:rsidP="005966BF">
      <w:r w:rsidRPr="005966BF">
        <w:t xml:space="preserve">Miami boasts over 400 registered student organizations. </w:t>
      </w:r>
      <w:r w:rsidR="005966BF" w:rsidRPr="005966BF">
        <w:t xml:space="preserve">In 2012, Miami purchased a software platform </w:t>
      </w:r>
      <w:r w:rsidR="00FA19B0">
        <w:t>(named “The Hub”) which</w:t>
      </w:r>
      <w:r w:rsidR="005966BF" w:rsidRPr="005966BF">
        <w:t xml:space="preserve"> enables students to view a list of student organizations, register f</w:t>
      </w:r>
      <w:r w:rsidR="0019312D">
        <w:t>or an organization, and access</w:t>
      </w:r>
      <w:r w:rsidR="005966BF" w:rsidRPr="005966BF">
        <w:t xml:space="preserve"> </w:t>
      </w:r>
      <w:r w:rsidR="005966BF" w:rsidRPr="005966BF">
        <w:lastRenderedPageBreak/>
        <w:t xml:space="preserve">an event calendar and a </w:t>
      </w:r>
      <w:r w:rsidRPr="005966BF">
        <w:t>virtual bulletin board highlighting upcoming student organization e</w:t>
      </w:r>
      <w:r w:rsidR="005966BF" w:rsidRPr="005966BF">
        <w:t>vents. It also provides a means for tracking student participation rates</w:t>
      </w:r>
      <w:r w:rsidR="009A49F0">
        <w:t xml:space="preserve"> and trends</w:t>
      </w:r>
      <w:r w:rsidR="005966BF" w:rsidRPr="005966BF">
        <w:t>.</w:t>
      </w:r>
    </w:p>
    <w:p w:rsidR="00BF6806" w:rsidRDefault="00BF6806" w:rsidP="00CA102A">
      <w:pPr>
        <w:rPr>
          <w:b/>
        </w:rPr>
      </w:pPr>
      <w:r w:rsidRPr="00691FD2">
        <w:rPr>
          <w:b/>
        </w:rPr>
        <w:t>Creative Arts</w:t>
      </w:r>
      <w:r w:rsidR="00691FD2" w:rsidRPr="00691FD2">
        <w:rPr>
          <w:b/>
        </w:rPr>
        <w:t xml:space="preserve"> Activities</w:t>
      </w:r>
    </w:p>
    <w:p w:rsidR="00562624" w:rsidRPr="00901B6B" w:rsidRDefault="00562624" w:rsidP="00CA102A">
      <w:r w:rsidRPr="00901B6B">
        <w:t xml:space="preserve">The College of Creative Arts provides students of all majors </w:t>
      </w:r>
      <w:r w:rsidR="00901B6B" w:rsidRPr="00901B6B">
        <w:t>a range of opportunities for direct involvement in the arts</w:t>
      </w:r>
      <w:r w:rsidR="00901B6B">
        <w:t>, including participation in one of Miami’s many musical ensemble</w:t>
      </w:r>
      <w:r w:rsidR="007921D2">
        <w:t xml:space="preserve">s, </w:t>
      </w:r>
      <w:r w:rsidR="00E078DD">
        <w:t>theatrical productions</w:t>
      </w:r>
      <w:r w:rsidR="007921D2">
        <w:t xml:space="preserve">, or </w:t>
      </w:r>
      <w:r w:rsidR="00DC3CF5">
        <w:t>one of the many activities or sprint courses in the new Phi</w:t>
      </w:r>
      <w:r w:rsidR="00E078DD">
        <w:t>llips Art Center</w:t>
      </w:r>
      <w:r w:rsidR="00DC3CF5">
        <w:t>.</w:t>
      </w:r>
    </w:p>
    <w:p w:rsidR="0098437F" w:rsidRDefault="0098437F" w:rsidP="0098437F">
      <w:pPr>
        <w:pStyle w:val="Heading3"/>
      </w:pPr>
      <w:r>
        <w:t>Conclusion</w:t>
      </w:r>
    </w:p>
    <w:p w:rsidR="007E10D1" w:rsidRPr="007E10D1" w:rsidRDefault="00CC4D47" w:rsidP="007E10D1">
      <w:r w:rsidRPr="007E10D1">
        <w:t>The value of these out-of-class experie</w:t>
      </w:r>
      <w:r w:rsidR="00C12058" w:rsidRPr="007E10D1">
        <w:t>nces has been confirmed through a variety of internal a</w:t>
      </w:r>
      <w:r w:rsidR="00C24CDE" w:rsidRPr="007E10D1">
        <w:t xml:space="preserve">nd external measures.  </w:t>
      </w:r>
      <w:r w:rsidR="007E10D1" w:rsidRPr="007E10D1">
        <w:t>In a 2011 report of the National Survey of Student Engagement (NSSE) assessing the extent to which students engage in "educationally effective" activities, scores reflecting the academic experiences of Miami first-year students and seniors were higher than the national average in all five benchmark categories.</w:t>
      </w:r>
    </w:p>
    <w:p w:rsidR="00C97F89" w:rsidRPr="007E10D1" w:rsidRDefault="007921D2" w:rsidP="007E10D1">
      <w:r>
        <w:t xml:space="preserve">These out-of-class learning experiences are a key reason why Miami graduates have so much professional success.  </w:t>
      </w:r>
      <w:r w:rsidR="00C24CDE" w:rsidRPr="007E10D1">
        <w:t>The 2013 Peace Corps Top Colleges ranked Miami 11th among medium-sized schools in the U</w:t>
      </w:r>
      <w:r w:rsidR="007E10D1">
        <w:t>.</w:t>
      </w:r>
      <w:r w:rsidR="00C24CDE" w:rsidRPr="007E10D1">
        <w:t>S</w:t>
      </w:r>
      <w:r w:rsidR="007E10D1">
        <w:t>.</w:t>
      </w:r>
      <w:r w:rsidR="00C24CDE" w:rsidRPr="007E10D1">
        <w:t xml:space="preserve">, with 876 of our alumni having served in the Peace Corps since 1961.  </w:t>
      </w:r>
      <w:r w:rsidR="009D3A90">
        <w:t>O</w:t>
      </w:r>
      <w:r w:rsidR="00D82038" w:rsidRPr="007E10D1">
        <w:t>ut of 202</w:t>
      </w:r>
      <w:r w:rsidR="009D3A90">
        <w:t>,784 living alumni</w:t>
      </w:r>
      <w:r w:rsidR="00D82038" w:rsidRPr="007E10D1">
        <w:t xml:space="preserve"> are 257 CEOs, 9,843 teachers, 599 physicians, and 1,774 attorneys.</w:t>
      </w:r>
      <w:r w:rsidR="00C97F89" w:rsidRPr="007E10D1">
        <w:t xml:space="preserve"> Miami University has been ranked nationally when it comes to return on investment as measured by post-graduate success and student satisfaction.  In 2012, SmartMoney.com ranked Miami 11th in the nation, and in 2013, Forbes ranked Miami 41st among public universities nationwide.</w:t>
      </w:r>
    </w:p>
    <w:p w:rsidR="00F879C4" w:rsidRPr="00B60934" w:rsidRDefault="00DD560C" w:rsidP="009D3A90">
      <w:r>
        <w:t>However, despite these considerable strengths, there is still room</w:t>
      </w:r>
      <w:r w:rsidR="009D3A90">
        <w:t xml:space="preserve"> for improvement.  Future steps include enhanc</w:t>
      </w:r>
      <w:r>
        <w:t>ing</w:t>
      </w:r>
      <w:r w:rsidR="00280F46" w:rsidRPr="00B846BC">
        <w:t xml:space="preserve"> assessment of co-curricular programming</w:t>
      </w:r>
      <w:r w:rsidR="00D82038">
        <w:t xml:space="preserve"> and </w:t>
      </w:r>
      <w:r>
        <w:t xml:space="preserve">evaluations of </w:t>
      </w:r>
      <w:r w:rsidR="009A49F0">
        <w:t>all student a</w:t>
      </w:r>
      <w:r w:rsidR="00D82038">
        <w:t xml:space="preserve">ffairs </w:t>
      </w:r>
      <w:r>
        <w:t xml:space="preserve">and auxiliary </w:t>
      </w:r>
      <w:r w:rsidR="00D82038">
        <w:t>units</w:t>
      </w:r>
      <w:r w:rsidR="009D3A90">
        <w:t xml:space="preserve"> as well as c</w:t>
      </w:r>
      <w:r w:rsidR="00F879C4">
        <w:t xml:space="preserve">ontinuing to raise the standards and expectations for Greek life through better education on diversity and inclusion, bystander training, </w:t>
      </w:r>
      <w:r w:rsidR="00562624">
        <w:t>alcohol abuse</w:t>
      </w:r>
      <w:r w:rsidR="009A49F0">
        <w:t>,</w:t>
      </w:r>
      <w:r w:rsidR="00562624">
        <w:t xml:space="preserve"> </w:t>
      </w:r>
      <w:r w:rsidR="00F879C4">
        <w:t>and hazing prevention</w:t>
      </w:r>
      <w:r w:rsidR="009D3A90">
        <w:t>.</w:t>
      </w:r>
    </w:p>
    <w:p w:rsidR="00280F46" w:rsidRDefault="00280F46" w:rsidP="00280F46">
      <w:pPr>
        <w:pStyle w:val="Heading2"/>
      </w:pPr>
      <w:r>
        <w:t>Sources</w:t>
      </w:r>
    </w:p>
    <w:p w:rsidR="00BA4C79" w:rsidRDefault="00BA4C79" w:rsidP="000945E2">
      <w:pPr>
        <w:pStyle w:val="NoSpacing"/>
        <w:numPr>
          <w:ilvl w:val="0"/>
          <w:numId w:val="9"/>
        </w:numPr>
        <w:ind w:left="252" w:hanging="252"/>
        <w:rPr>
          <w:sz w:val="20"/>
          <w:szCs w:val="20"/>
        </w:rPr>
      </w:pPr>
      <w:r>
        <w:rPr>
          <w:sz w:val="20"/>
          <w:szCs w:val="20"/>
        </w:rPr>
        <w:t>Plan for Student Affairs Assessment</w:t>
      </w:r>
    </w:p>
    <w:p w:rsidR="00280F46" w:rsidRDefault="00BA4C79" w:rsidP="000945E2">
      <w:pPr>
        <w:pStyle w:val="NoSpacing"/>
        <w:numPr>
          <w:ilvl w:val="0"/>
          <w:numId w:val="9"/>
        </w:numPr>
        <w:ind w:left="252" w:hanging="252"/>
        <w:rPr>
          <w:sz w:val="20"/>
          <w:szCs w:val="20"/>
        </w:rPr>
      </w:pPr>
      <w:r>
        <w:rPr>
          <w:sz w:val="20"/>
          <w:szCs w:val="20"/>
        </w:rPr>
        <w:t xml:space="preserve">Description </w:t>
      </w:r>
      <w:r w:rsidR="00280F46" w:rsidRPr="004714DA">
        <w:rPr>
          <w:sz w:val="20"/>
          <w:szCs w:val="20"/>
        </w:rPr>
        <w:t>of SAF departmental review process</w:t>
      </w:r>
    </w:p>
    <w:p w:rsidR="00280F46" w:rsidRDefault="00280F46" w:rsidP="000945E2">
      <w:pPr>
        <w:pStyle w:val="NoSpacing"/>
        <w:numPr>
          <w:ilvl w:val="0"/>
          <w:numId w:val="9"/>
        </w:numPr>
        <w:ind w:left="252" w:hanging="252"/>
        <w:rPr>
          <w:sz w:val="20"/>
          <w:szCs w:val="20"/>
        </w:rPr>
      </w:pPr>
      <w:r>
        <w:rPr>
          <w:sz w:val="20"/>
          <w:szCs w:val="20"/>
        </w:rPr>
        <w:t>ALL (Assessment of Living and Learning) Survey</w:t>
      </w:r>
    </w:p>
    <w:p w:rsidR="008651B2" w:rsidRDefault="008651B2" w:rsidP="000945E2">
      <w:pPr>
        <w:pStyle w:val="NoSpacing"/>
        <w:numPr>
          <w:ilvl w:val="0"/>
          <w:numId w:val="9"/>
        </w:numPr>
        <w:ind w:left="252" w:hanging="252"/>
        <w:rPr>
          <w:sz w:val="20"/>
          <w:szCs w:val="20"/>
        </w:rPr>
      </w:pPr>
      <w:r>
        <w:rPr>
          <w:sz w:val="20"/>
          <w:szCs w:val="20"/>
        </w:rPr>
        <w:t>Residential Curriculum description</w:t>
      </w:r>
    </w:p>
    <w:p w:rsidR="00517A2C" w:rsidRPr="00517A2C" w:rsidRDefault="00517A2C" w:rsidP="00517A2C">
      <w:pPr>
        <w:pStyle w:val="NoSpacing"/>
        <w:numPr>
          <w:ilvl w:val="0"/>
          <w:numId w:val="9"/>
        </w:numPr>
        <w:ind w:left="252" w:hanging="252"/>
        <w:rPr>
          <w:sz w:val="20"/>
          <w:szCs w:val="20"/>
        </w:rPr>
      </w:pPr>
      <w:r>
        <w:rPr>
          <w:sz w:val="20"/>
          <w:szCs w:val="20"/>
        </w:rPr>
        <w:t>List of LLCs</w:t>
      </w:r>
    </w:p>
    <w:p w:rsidR="008651B2" w:rsidRDefault="008651B2" w:rsidP="000945E2">
      <w:pPr>
        <w:pStyle w:val="NoSpacing"/>
        <w:numPr>
          <w:ilvl w:val="0"/>
          <w:numId w:val="9"/>
        </w:numPr>
        <w:ind w:left="252" w:hanging="252"/>
        <w:rPr>
          <w:sz w:val="20"/>
          <w:szCs w:val="20"/>
        </w:rPr>
      </w:pPr>
      <w:r>
        <w:rPr>
          <w:sz w:val="20"/>
          <w:szCs w:val="20"/>
        </w:rPr>
        <w:t>FYRE description</w:t>
      </w:r>
    </w:p>
    <w:p w:rsidR="008651B2" w:rsidRDefault="008651B2" w:rsidP="000945E2">
      <w:pPr>
        <w:pStyle w:val="NoSpacing"/>
        <w:numPr>
          <w:ilvl w:val="0"/>
          <w:numId w:val="9"/>
        </w:numPr>
        <w:ind w:left="252" w:hanging="252"/>
        <w:rPr>
          <w:sz w:val="20"/>
          <w:szCs w:val="20"/>
        </w:rPr>
      </w:pPr>
      <w:r>
        <w:rPr>
          <w:sz w:val="20"/>
          <w:szCs w:val="20"/>
        </w:rPr>
        <w:t>USS description</w:t>
      </w:r>
    </w:p>
    <w:p w:rsidR="00517A2C" w:rsidRDefault="00517A2C" w:rsidP="000945E2">
      <w:pPr>
        <w:pStyle w:val="NoSpacing"/>
        <w:numPr>
          <w:ilvl w:val="0"/>
          <w:numId w:val="9"/>
        </w:numPr>
        <w:ind w:left="252" w:hanging="252"/>
        <w:rPr>
          <w:sz w:val="20"/>
          <w:szCs w:val="20"/>
        </w:rPr>
      </w:pPr>
      <w:r>
        <w:rPr>
          <w:sz w:val="20"/>
          <w:szCs w:val="20"/>
        </w:rPr>
        <w:t>DUOS description</w:t>
      </w:r>
    </w:p>
    <w:p w:rsidR="008651B2" w:rsidRDefault="008651B2" w:rsidP="000945E2">
      <w:pPr>
        <w:pStyle w:val="NoSpacing"/>
        <w:numPr>
          <w:ilvl w:val="0"/>
          <w:numId w:val="9"/>
        </w:numPr>
        <w:ind w:left="252" w:hanging="252"/>
        <w:rPr>
          <w:sz w:val="20"/>
          <w:szCs w:val="20"/>
        </w:rPr>
      </w:pPr>
      <w:r>
        <w:rPr>
          <w:sz w:val="20"/>
          <w:szCs w:val="20"/>
        </w:rPr>
        <w:t>SOARS description</w:t>
      </w:r>
    </w:p>
    <w:p w:rsidR="008651B2" w:rsidRDefault="008651B2" w:rsidP="00517A2C">
      <w:pPr>
        <w:pStyle w:val="NoSpacing"/>
        <w:numPr>
          <w:ilvl w:val="0"/>
          <w:numId w:val="9"/>
        </w:numPr>
        <w:ind w:left="252" w:hanging="252"/>
        <w:rPr>
          <w:sz w:val="20"/>
          <w:szCs w:val="20"/>
        </w:rPr>
      </w:pPr>
      <w:r>
        <w:rPr>
          <w:sz w:val="20"/>
          <w:szCs w:val="20"/>
        </w:rPr>
        <w:t xml:space="preserve">Descriptions for Western Inquiry Center, </w:t>
      </w:r>
      <w:r w:rsidRPr="008651B2">
        <w:rPr>
          <w:sz w:val="20"/>
          <w:szCs w:val="20"/>
        </w:rPr>
        <w:t>Center for Psychological Inquiry</w:t>
      </w:r>
      <w:r>
        <w:rPr>
          <w:sz w:val="20"/>
          <w:szCs w:val="20"/>
        </w:rPr>
        <w:t xml:space="preserve">, </w:t>
      </w:r>
      <w:r w:rsidRPr="008651B2">
        <w:rPr>
          <w:sz w:val="20"/>
          <w:szCs w:val="20"/>
        </w:rPr>
        <w:t>Altman Undergraduate Fellows</w:t>
      </w:r>
      <w:r>
        <w:rPr>
          <w:sz w:val="20"/>
          <w:szCs w:val="20"/>
        </w:rPr>
        <w:t xml:space="preserve">, </w:t>
      </w:r>
      <w:r w:rsidRPr="008651B2">
        <w:rPr>
          <w:sz w:val="20"/>
          <w:szCs w:val="20"/>
        </w:rPr>
        <w:t>UHP, UASP</w:t>
      </w:r>
      <w:r>
        <w:rPr>
          <w:sz w:val="20"/>
          <w:szCs w:val="20"/>
        </w:rPr>
        <w:t xml:space="preserve">, </w:t>
      </w:r>
      <w:r w:rsidRPr="008651B2">
        <w:rPr>
          <w:sz w:val="20"/>
          <w:szCs w:val="20"/>
        </w:rPr>
        <w:t>ORU</w:t>
      </w:r>
      <w:r w:rsidR="00517A2C">
        <w:rPr>
          <w:sz w:val="20"/>
          <w:szCs w:val="20"/>
        </w:rPr>
        <w:t>, Scholar Leader Program, U-Lead, Lockheed Martin Leadership Institute, Buck Rodgers, LeaderShape, Inside Washington, San Francisco AIMS program</w:t>
      </w:r>
    </w:p>
    <w:p w:rsidR="00517A2C" w:rsidRPr="00517A2C" w:rsidRDefault="00517A2C" w:rsidP="00517A2C">
      <w:pPr>
        <w:pStyle w:val="NoSpacing"/>
        <w:numPr>
          <w:ilvl w:val="0"/>
          <w:numId w:val="9"/>
        </w:numPr>
        <w:ind w:left="252" w:hanging="252"/>
        <w:rPr>
          <w:sz w:val="20"/>
          <w:szCs w:val="20"/>
        </w:rPr>
      </w:pPr>
      <w:r>
        <w:rPr>
          <w:sz w:val="20"/>
          <w:szCs w:val="20"/>
        </w:rPr>
        <w:t>Career Success Certificate Program description</w:t>
      </w:r>
    </w:p>
    <w:p w:rsidR="00280F46" w:rsidRPr="004714DA" w:rsidRDefault="00280F46" w:rsidP="000945E2">
      <w:pPr>
        <w:pStyle w:val="NoSpacing"/>
        <w:numPr>
          <w:ilvl w:val="0"/>
          <w:numId w:val="9"/>
        </w:numPr>
        <w:ind w:left="252" w:hanging="252"/>
        <w:rPr>
          <w:sz w:val="20"/>
          <w:szCs w:val="20"/>
        </w:rPr>
      </w:pPr>
      <w:r w:rsidRPr="004714DA">
        <w:rPr>
          <w:sz w:val="20"/>
          <w:szCs w:val="20"/>
        </w:rPr>
        <w:t xml:space="preserve">Miami 2020 Plan metrics </w:t>
      </w:r>
      <w:r>
        <w:rPr>
          <w:sz w:val="20"/>
          <w:szCs w:val="20"/>
        </w:rPr>
        <w:t>on research, internships, outreach</w:t>
      </w:r>
      <w:r w:rsidRPr="004714DA">
        <w:rPr>
          <w:sz w:val="20"/>
          <w:szCs w:val="20"/>
        </w:rPr>
        <w:t xml:space="preserve"> and </w:t>
      </w:r>
      <w:r>
        <w:rPr>
          <w:sz w:val="20"/>
          <w:szCs w:val="20"/>
        </w:rPr>
        <w:t xml:space="preserve">dept/div </w:t>
      </w:r>
      <w:r w:rsidRPr="004714DA">
        <w:rPr>
          <w:sz w:val="20"/>
          <w:szCs w:val="20"/>
        </w:rPr>
        <w:t>reports</w:t>
      </w:r>
    </w:p>
    <w:p w:rsidR="00BA4C79" w:rsidRDefault="00BA4C79" w:rsidP="000945E2">
      <w:pPr>
        <w:pStyle w:val="NoSpacing"/>
        <w:numPr>
          <w:ilvl w:val="0"/>
          <w:numId w:val="9"/>
        </w:numPr>
        <w:ind w:left="252" w:hanging="252"/>
        <w:rPr>
          <w:sz w:val="20"/>
          <w:szCs w:val="20"/>
        </w:rPr>
      </w:pPr>
      <w:r>
        <w:rPr>
          <w:sz w:val="20"/>
          <w:szCs w:val="20"/>
        </w:rPr>
        <w:t>List of S-L designated courses</w:t>
      </w:r>
    </w:p>
    <w:p w:rsidR="00280F46" w:rsidRPr="00BA4C79" w:rsidRDefault="00280F46" w:rsidP="000945E2">
      <w:pPr>
        <w:pStyle w:val="NoSpacing"/>
        <w:numPr>
          <w:ilvl w:val="0"/>
          <w:numId w:val="9"/>
        </w:numPr>
        <w:ind w:left="252" w:hanging="252"/>
        <w:rPr>
          <w:sz w:val="20"/>
          <w:szCs w:val="20"/>
        </w:rPr>
      </w:pPr>
      <w:r w:rsidRPr="00BA4C79">
        <w:rPr>
          <w:sz w:val="20"/>
          <w:szCs w:val="20"/>
        </w:rPr>
        <w:t>Graduation</w:t>
      </w:r>
      <w:r w:rsidR="00BA4C79">
        <w:rPr>
          <w:sz w:val="20"/>
          <w:szCs w:val="20"/>
        </w:rPr>
        <w:t xml:space="preserve"> and alumni survey reports</w:t>
      </w:r>
    </w:p>
    <w:p w:rsidR="00280F46" w:rsidRPr="004714DA" w:rsidRDefault="00BA4C79" w:rsidP="000945E2">
      <w:pPr>
        <w:pStyle w:val="NoSpacing"/>
        <w:numPr>
          <w:ilvl w:val="0"/>
          <w:numId w:val="9"/>
        </w:numPr>
        <w:ind w:left="252" w:hanging="252"/>
        <w:rPr>
          <w:sz w:val="20"/>
          <w:szCs w:val="20"/>
        </w:rPr>
      </w:pPr>
      <w:r>
        <w:rPr>
          <w:sz w:val="20"/>
          <w:szCs w:val="20"/>
        </w:rPr>
        <w:t>Employer survey report</w:t>
      </w:r>
    </w:p>
    <w:p w:rsidR="00280F46" w:rsidRDefault="00280F46" w:rsidP="000945E2">
      <w:pPr>
        <w:pStyle w:val="NoSpacing"/>
        <w:numPr>
          <w:ilvl w:val="0"/>
          <w:numId w:val="9"/>
        </w:numPr>
        <w:ind w:left="252" w:hanging="252"/>
        <w:rPr>
          <w:sz w:val="20"/>
          <w:szCs w:val="20"/>
        </w:rPr>
      </w:pPr>
      <w:r>
        <w:rPr>
          <w:sz w:val="20"/>
          <w:szCs w:val="20"/>
        </w:rPr>
        <w:t>Research reports by GSOARS and Susan Meikle</w:t>
      </w:r>
    </w:p>
    <w:p w:rsidR="00280F46" w:rsidRDefault="00280F46" w:rsidP="000945E2">
      <w:pPr>
        <w:pStyle w:val="NoSpacing"/>
        <w:numPr>
          <w:ilvl w:val="0"/>
          <w:numId w:val="9"/>
        </w:numPr>
        <w:ind w:left="252" w:hanging="252"/>
        <w:rPr>
          <w:sz w:val="20"/>
          <w:szCs w:val="20"/>
        </w:rPr>
      </w:pPr>
      <w:r w:rsidRPr="00280F46">
        <w:rPr>
          <w:sz w:val="20"/>
          <w:szCs w:val="20"/>
        </w:rPr>
        <w:t>Document on Combined Bachelor’s – Master’s Degree Programs</w:t>
      </w:r>
    </w:p>
    <w:p w:rsidR="00B56339" w:rsidRDefault="00B56339" w:rsidP="000945E2">
      <w:pPr>
        <w:pStyle w:val="NoSpacing"/>
        <w:numPr>
          <w:ilvl w:val="0"/>
          <w:numId w:val="9"/>
        </w:numPr>
        <w:ind w:left="252" w:hanging="252"/>
        <w:rPr>
          <w:sz w:val="20"/>
          <w:szCs w:val="20"/>
        </w:rPr>
      </w:pPr>
      <w:r>
        <w:rPr>
          <w:sz w:val="20"/>
          <w:szCs w:val="20"/>
        </w:rPr>
        <w:t>Career Services Year End Reports</w:t>
      </w:r>
    </w:p>
    <w:p w:rsidR="00B56339" w:rsidRDefault="00B56339" w:rsidP="000945E2">
      <w:pPr>
        <w:pStyle w:val="NoSpacing"/>
        <w:numPr>
          <w:ilvl w:val="0"/>
          <w:numId w:val="9"/>
        </w:numPr>
        <w:ind w:left="252" w:hanging="252"/>
        <w:rPr>
          <w:sz w:val="20"/>
          <w:szCs w:val="20"/>
        </w:rPr>
      </w:pPr>
      <w:r>
        <w:rPr>
          <w:sz w:val="20"/>
          <w:szCs w:val="20"/>
        </w:rPr>
        <w:t>Curran Consulting Report on Career Services, 2012</w:t>
      </w:r>
    </w:p>
    <w:p w:rsidR="00913773" w:rsidRDefault="00913773" w:rsidP="000945E2">
      <w:pPr>
        <w:pStyle w:val="NoSpacing"/>
        <w:numPr>
          <w:ilvl w:val="0"/>
          <w:numId w:val="9"/>
        </w:numPr>
        <w:ind w:left="252" w:hanging="252"/>
        <w:rPr>
          <w:sz w:val="20"/>
          <w:szCs w:val="20"/>
        </w:rPr>
      </w:pPr>
      <w:r>
        <w:rPr>
          <w:sz w:val="20"/>
          <w:szCs w:val="20"/>
        </w:rPr>
        <w:t>Miami’s Ohio Means Grant Application</w:t>
      </w:r>
    </w:p>
    <w:p w:rsidR="00913773" w:rsidRDefault="00913773" w:rsidP="000945E2">
      <w:pPr>
        <w:pStyle w:val="NoSpacing"/>
        <w:numPr>
          <w:ilvl w:val="0"/>
          <w:numId w:val="9"/>
        </w:numPr>
        <w:ind w:left="252" w:hanging="252"/>
        <w:rPr>
          <w:sz w:val="20"/>
          <w:szCs w:val="20"/>
        </w:rPr>
      </w:pPr>
      <w:r>
        <w:rPr>
          <w:sz w:val="20"/>
          <w:szCs w:val="20"/>
        </w:rPr>
        <w:t>List of fellowship winners since 2005</w:t>
      </w:r>
    </w:p>
    <w:p w:rsidR="002C6BCC" w:rsidRDefault="002C6BCC" w:rsidP="000945E2">
      <w:pPr>
        <w:pStyle w:val="NoSpacing"/>
        <w:numPr>
          <w:ilvl w:val="0"/>
          <w:numId w:val="9"/>
        </w:numPr>
        <w:ind w:left="252" w:hanging="252"/>
        <w:rPr>
          <w:sz w:val="20"/>
          <w:szCs w:val="20"/>
        </w:rPr>
      </w:pPr>
      <w:r>
        <w:rPr>
          <w:sz w:val="20"/>
          <w:szCs w:val="20"/>
        </w:rPr>
        <w:t>List of student organizations from the HUB</w:t>
      </w:r>
    </w:p>
    <w:p w:rsidR="00913773" w:rsidRDefault="00913773" w:rsidP="000945E2">
      <w:pPr>
        <w:pStyle w:val="NoSpacing"/>
        <w:numPr>
          <w:ilvl w:val="0"/>
          <w:numId w:val="9"/>
        </w:numPr>
        <w:ind w:left="252" w:hanging="252"/>
        <w:rPr>
          <w:sz w:val="20"/>
          <w:szCs w:val="20"/>
        </w:rPr>
      </w:pPr>
      <w:r>
        <w:rPr>
          <w:sz w:val="20"/>
          <w:szCs w:val="20"/>
        </w:rPr>
        <w:lastRenderedPageBreak/>
        <w:t xml:space="preserve">Office of Residence life Annual reports </w:t>
      </w:r>
    </w:p>
    <w:p w:rsidR="00913773" w:rsidRDefault="00913773" w:rsidP="000945E2">
      <w:pPr>
        <w:pStyle w:val="NoSpacing"/>
        <w:numPr>
          <w:ilvl w:val="0"/>
          <w:numId w:val="9"/>
        </w:numPr>
        <w:ind w:left="252" w:hanging="252"/>
        <w:rPr>
          <w:sz w:val="20"/>
          <w:szCs w:val="20"/>
        </w:rPr>
      </w:pPr>
      <w:r>
        <w:rPr>
          <w:sz w:val="20"/>
          <w:szCs w:val="20"/>
        </w:rPr>
        <w:t>Cliff Alexander Office annual reports</w:t>
      </w:r>
    </w:p>
    <w:p w:rsidR="00913773" w:rsidRDefault="00BA4C79" w:rsidP="000945E2">
      <w:pPr>
        <w:pStyle w:val="NoSpacing"/>
        <w:numPr>
          <w:ilvl w:val="0"/>
          <w:numId w:val="9"/>
        </w:numPr>
        <w:ind w:left="252" w:hanging="252"/>
        <w:rPr>
          <w:sz w:val="20"/>
          <w:szCs w:val="20"/>
        </w:rPr>
      </w:pPr>
      <w:r>
        <w:rPr>
          <w:sz w:val="20"/>
          <w:szCs w:val="20"/>
        </w:rPr>
        <w:t>Office of Community Engagement Annual reports</w:t>
      </w:r>
    </w:p>
    <w:p w:rsidR="00E078DD" w:rsidRPr="00E078DD" w:rsidRDefault="00E078DD" w:rsidP="000945E2">
      <w:pPr>
        <w:pStyle w:val="NoSpacing"/>
        <w:numPr>
          <w:ilvl w:val="0"/>
          <w:numId w:val="9"/>
        </w:numPr>
        <w:ind w:left="252" w:hanging="252"/>
        <w:rPr>
          <w:sz w:val="20"/>
          <w:szCs w:val="20"/>
        </w:rPr>
      </w:pPr>
      <w:r>
        <w:rPr>
          <w:sz w:val="20"/>
          <w:szCs w:val="20"/>
        </w:rPr>
        <w:t xml:space="preserve">List of musical ensembles at: </w:t>
      </w:r>
      <w:r>
        <w:t>[</w:t>
      </w:r>
      <w:r w:rsidRPr="00901B6B">
        <w:t>http://miamioh.edu/cca/academics/departments/music/performances/ensembles/index.html</w:t>
      </w:r>
      <w:r>
        <w:t>]</w:t>
      </w:r>
    </w:p>
    <w:p w:rsidR="00E078DD" w:rsidRPr="00E078DD" w:rsidRDefault="00E078DD" w:rsidP="000945E2">
      <w:pPr>
        <w:pStyle w:val="NoSpacing"/>
        <w:numPr>
          <w:ilvl w:val="0"/>
          <w:numId w:val="9"/>
        </w:numPr>
        <w:ind w:left="252" w:hanging="252"/>
        <w:rPr>
          <w:sz w:val="20"/>
          <w:szCs w:val="20"/>
        </w:rPr>
      </w:pPr>
      <w:r>
        <w:t xml:space="preserve">List of theatrical productions at: </w:t>
      </w:r>
      <w:hyperlink r:id="rId43" w:history="1">
        <w:r w:rsidRPr="00E060B3">
          <w:rPr>
            <w:rStyle w:val="Hyperlink"/>
          </w:rPr>
          <w:t>http://miamioh.edu/cca/academics/departments/theatre/current-students/show-auditions.html</w:t>
        </w:r>
      </w:hyperlink>
    </w:p>
    <w:p w:rsidR="00E078DD" w:rsidRPr="00280F46" w:rsidRDefault="00E078DD" w:rsidP="000945E2">
      <w:pPr>
        <w:pStyle w:val="NoSpacing"/>
        <w:numPr>
          <w:ilvl w:val="0"/>
          <w:numId w:val="9"/>
        </w:numPr>
        <w:ind w:left="252" w:hanging="252"/>
        <w:rPr>
          <w:sz w:val="20"/>
          <w:szCs w:val="20"/>
        </w:rPr>
      </w:pPr>
      <w:r>
        <w:t xml:space="preserve">Description of Phillips Art Center at: </w:t>
      </w:r>
      <w:r w:rsidRPr="00DC3CF5">
        <w:t>http://miamioh.edu/cca/art-center/about/index.html</w:t>
      </w:r>
    </w:p>
    <w:p w:rsidR="005D7B94" w:rsidRDefault="005D7B94" w:rsidP="005D7B94"/>
    <w:p w:rsidR="00723064" w:rsidRDefault="00723064">
      <w:pPr>
        <w:rPr>
          <w:smallCaps/>
          <w:sz w:val="28"/>
          <w:szCs w:val="28"/>
        </w:rPr>
      </w:pPr>
      <w:r>
        <w:br w:type="page"/>
      </w:r>
    </w:p>
    <w:p w:rsidR="005D7B94" w:rsidRDefault="00964121" w:rsidP="00964121">
      <w:pPr>
        <w:pStyle w:val="Heading2"/>
      </w:pPr>
      <w:r w:rsidRPr="00E360AE">
        <w:lastRenderedPageBreak/>
        <w:t>Criterion 4: The institution demonstrates responsibility for the quality of its educational programs, learning environments, and support services, and it evaluates their effectiveness for student learning through processes designed to promote continuous improvement.</w:t>
      </w:r>
    </w:p>
    <w:p w:rsidR="00964121" w:rsidRPr="005672D6" w:rsidRDefault="00964121" w:rsidP="00964121">
      <w:pPr>
        <w:pStyle w:val="Heading4"/>
      </w:pPr>
      <w:r>
        <w:t>4.A.</w:t>
      </w:r>
      <w:r>
        <w:tab/>
      </w:r>
      <w:r w:rsidRPr="005672D6">
        <w:t xml:space="preserve">The institution demonstrates responsibility for the quality of its educational programs.  </w:t>
      </w:r>
    </w:p>
    <w:p w:rsidR="00964121" w:rsidRPr="00964121" w:rsidRDefault="00964121" w:rsidP="00964121">
      <w:pPr>
        <w:pStyle w:val="Heading5"/>
        <w:rPr>
          <w:sz w:val="22"/>
          <w:szCs w:val="22"/>
        </w:rPr>
      </w:pPr>
      <w:r w:rsidRPr="00964121">
        <w:rPr>
          <w:sz w:val="22"/>
          <w:szCs w:val="22"/>
        </w:rPr>
        <w:t>4.A.1.</w:t>
      </w:r>
      <w:r w:rsidRPr="00964121">
        <w:rPr>
          <w:sz w:val="22"/>
          <w:szCs w:val="22"/>
        </w:rPr>
        <w:tab/>
        <w:t>The institution maintains a practice of regular program reviews.</w:t>
      </w:r>
    </w:p>
    <w:p w:rsidR="00964121" w:rsidRPr="00964121" w:rsidRDefault="00964121" w:rsidP="00964121">
      <w:pPr>
        <w:pStyle w:val="Heading5"/>
        <w:ind w:left="720" w:hanging="720"/>
        <w:rPr>
          <w:sz w:val="22"/>
          <w:szCs w:val="22"/>
        </w:rPr>
      </w:pPr>
      <w:r>
        <w:rPr>
          <w:sz w:val="22"/>
          <w:szCs w:val="22"/>
        </w:rPr>
        <w:t>4.A.2.</w:t>
      </w:r>
      <w:r>
        <w:rPr>
          <w:sz w:val="22"/>
          <w:szCs w:val="22"/>
        </w:rPr>
        <w:tab/>
      </w:r>
      <w:r w:rsidRPr="00964121">
        <w:rPr>
          <w:sz w:val="22"/>
          <w:szCs w:val="22"/>
        </w:rPr>
        <w:t>The institution evaluates all the credit that it transcripts, including what it awards for experiential learning or other forms of prior learning</w:t>
      </w:r>
      <w:r w:rsidR="00933C51">
        <w:rPr>
          <w:sz w:val="22"/>
          <w:szCs w:val="22"/>
        </w:rPr>
        <w:t>, or relies on the evaluation of responsible third parties</w:t>
      </w:r>
      <w:r w:rsidRPr="00964121">
        <w:rPr>
          <w:sz w:val="22"/>
          <w:szCs w:val="22"/>
        </w:rPr>
        <w:t>.</w:t>
      </w:r>
    </w:p>
    <w:p w:rsidR="00964121" w:rsidRPr="00964121" w:rsidRDefault="00964121" w:rsidP="00964121">
      <w:pPr>
        <w:pStyle w:val="Heading5"/>
        <w:rPr>
          <w:sz w:val="22"/>
          <w:szCs w:val="22"/>
        </w:rPr>
      </w:pPr>
      <w:r w:rsidRPr="00964121">
        <w:rPr>
          <w:sz w:val="22"/>
          <w:szCs w:val="22"/>
        </w:rPr>
        <w:t>4.A.3.     The institution has policies that assure the quality of the credit that it accepts in transfer.</w:t>
      </w:r>
    </w:p>
    <w:p w:rsidR="00964121" w:rsidRPr="00964121" w:rsidRDefault="00964121" w:rsidP="00964121">
      <w:pPr>
        <w:pStyle w:val="Heading5"/>
        <w:ind w:left="720" w:hanging="720"/>
        <w:rPr>
          <w:sz w:val="22"/>
          <w:szCs w:val="22"/>
        </w:rPr>
      </w:pPr>
      <w:r>
        <w:rPr>
          <w:sz w:val="22"/>
          <w:szCs w:val="22"/>
        </w:rPr>
        <w:t>4.A.4.</w:t>
      </w:r>
      <w:r>
        <w:rPr>
          <w:sz w:val="22"/>
          <w:szCs w:val="22"/>
        </w:rPr>
        <w:tab/>
      </w:r>
      <w:r w:rsidRPr="00964121">
        <w:rPr>
          <w:sz w:val="22"/>
          <w:szCs w:val="22"/>
        </w:rPr>
        <w:t xml:space="preserve">The institution maintains and exercises authority over the prerequisites for courses, rigor for courses, expectations for student learning, access to learning resources, and faculty qualifications for all its programs, including dual credit programs.  It assures its dual credit courses or programs for high school students are equivalent in learning outcomes and levels of achievement to its higher education curriculum.  </w:t>
      </w:r>
    </w:p>
    <w:p w:rsidR="00964121" w:rsidRPr="00964121" w:rsidRDefault="00964121" w:rsidP="00964121">
      <w:pPr>
        <w:pStyle w:val="Heading5"/>
        <w:rPr>
          <w:sz w:val="22"/>
          <w:szCs w:val="22"/>
        </w:rPr>
      </w:pPr>
      <w:r>
        <w:rPr>
          <w:sz w:val="22"/>
          <w:szCs w:val="22"/>
        </w:rPr>
        <w:t>4.A.5.</w:t>
      </w:r>
      <w:r>
        <w:rPr>
          <w:sz w:val="22"/>
          <w:szCs w:val="22"/>
        </w:rPr>
        <w:tab/>
      </w:r>
      <w:r w:rsidRPr="00964121">
        <w:rPr>
          <w:sz w:val="22"/>
          <w:szCs w:val="22"/>
        </w:rPr>
        <w:t xml:space="preserve">The institution maintains specialized accreditation as appropriate to its educational purposes.  </w:t>
      </w:r>
    </w:p>
    <w:p w:rsidR="00964121" w:rsidRPr="00964121" w:rsidRDefault="00964121" w:rsidP="00964121">
      <w:pPr>
        <w:pStyle w:val="Heading5"/>
        <w:ind w:left="720" w:hanging="720"/>
        <w:rPr>
          <w:sz w:val="22"/>
          <w:szCs w:val="22"/>
        </w:rPr>
      </w:pPr>
      <w:r>
        <w:rPr>
          <w:sz w:val="22"/>
          <w:szCs w:val="22"/>
        </w:rPr>
        <w:t>4.A.6.</w:t>
      </w:r>
      <w:r>
        <w:rPr>
          <w:sz w:val="22"/>
          <w:szCs w:val="22"/>
        </w:rPr>
        <w:tab/>
      </w:r>
      <w:r w:rsidRPr="00964121">
        <w:rPr>
          <w:sz w:val="22"/>
          <w:szCs w:val="22"/>
        </w:rPr>
        <w:t xml:space="preserve">The institution evaluates the success of its graduates.  The institution assures that the degree or certificate programs it represents as preparation for advanced study or employment to accomplish these purposes.  For all programs, the institution looks to indicators it deems appropriate to its mission, such as employment rates, admission rates of advanced degree programs, and participation rates </w:t>
      </w:r>
      <w:r w:rsidR="006B3216">
        <w:rPr>
          <w:sz w:val="22"/>
          <w:szCs w:val="22"/>
        </w:rPr>
        <w:t>i</w:t>
      </w:r>
      <w:r w:rsidRPr="00964121">
        <w:rPr>
          <w:sz w:val="22"/>
          <w:szCs w:val="22"/>
        </w:rPr>
        <w:t>n fellowships, internships and special programs (e.g</w:t>
      </w:r>
      <w:r w:rsidR="00EF5B7C">
        <w:rPr>
          <w:sz w:val="22"/>
          <w:szCs w:val="22"/>
        </w:rPr>
        <w:t>., Peace Corps and Americorps).</w:t>
      </w:r>
    </w:p>
    <w:p w:rsidR="00964121" w:rsidRDefault="00964121" w:rsidP="00964121">
      <w:pPr>
        <w:pStyle w:val="Heading2"/>
      </w:pPr>
      <w:r>
        <w:t>Narrative</w:t>
      </w:r>
    </w:p>
    <w:p w:rsidR="005B77ED" w:rsidRDefault="00A82677" w:rsidP="000B54EF">
      <w:r w:rsidRPr="00A82677">
        <w:t>Program review is</w:t>
      </w:r>
      <w:r w:rsidR="001D7311">
        <w:t xml:space="preserve"> a</w:t>
      </w:r>
      <w:r w:rsidRPr="00A82677">
        <w:t xml:space="preserve"> longstanding practice at Miami. </w:t>
      </w:r>
      <w:r w:rsidR="00B66B13" w:rsidRPr="00A82677">
        <w:t>All academic de</w:t>
      </w:r>
      <w:r w:rsidR="009A49F0">
        <w:t>partments and programs undergo academic program r</w:t>
      </w:r>
      <w:r w:rsidR="00B66B13" w:rsidRPr="00A82677">
        <w:t xml:space="preserve">eview </w:t>
      </w:r>
      <w:r w:rsidR="00C0096A" w:rsidRPr="00A82677">
        <w:t xml:space="preserve">(APR) </w:t>
      </w:r>
      <w:r w:rsidR="00B66B13" w:rsidRPr="00A82677">
        <w:t>every 5-7 years</w:t>
      </w:r>
      <w:r>
        <w:t xml:space="preserve">. </w:t>
      </w:r>
      <w:r w:rsidR="00B66B13" w:rsidRPr="00A82677">
        <w:t xml:space="preserve"> In 2013-2014, the APR process and guidelines were revised and improved to better ensure that the process is successful in advancing program</w:t>
      </w:r>
      <w:r w:rsidR="005976FF">
        <w:t xml:space="preserve"> improvement, focusing on ambitious but feasible goals, and ensuring high quality academic programs</w:t>
      </w:r>
      <w:r w:rsidR="00B66B13" w:rsidRPr="00A82677">
        <w:t xml:space="preserve">.  </w:t>
      </w:r>
      <w:r>
        <w:t xml:space="preserve">The </w:t>
      </w:r>
      <w:r w:rsidR="00DD00BD">
        <w:t xml:space="preserve">revised </w:t>
      </w:r>
      <w:r>
        <w:t>process entails</w:t>
      </w:r>
      <w:r w:rsidR="005B77ED">
        <w:t>:</w:t>
      </w:r>
    </w:p>
    <w:p w:rsidR="00A82677" w:rsidRPr="009E6ACE" w:rsidRDefault="005B77ED" w:rsidP="00F5054C">
      <w:pPr>
        <w:pStyle w:val="ListParagraph"/>
        <w:numPr>
          <w:ilvl w:val="0"/>
          <w:numId w:val="81"/>
        </w:numPr>
      </w:pPr>
      <w:r>
        <w:t xml:space="preserve">Creation of a study document </w:t>
      </w:r>
      <w:r w:rsidRPr="005B77ED">
        <w:t>which includes an analysis of activities and performance s</w:t>
      </w:r>
      <w:r w:rsidR="00A82677" w:rsidRPr="005B77ED">
        <w:t>ince</w:t>
      </w:r>
      <w:r w:rsidRPr="005B77ED">
        <w:t xml:space="preserve"> the last review, a </w:t>
      </w:r>
      <w:r w:rsidR="009E6ACE">
        <w:t xml:space="preserve">five-year </w:t>
      </w:r>
      <w:r w:rsidRPr="005B77ED">
        <w:t>strategic p</w:t>
      </w:r>
      <w:r w:rsidR="009E6ACE">
        <w:t>lan, and a list of 3-5 key issues which are chosen based upon a comparative evaluation of the activities and performance since the last r</w:t>
      </w:r>
      <w:r w:rsidR="009E6ACE" w:rsidRPr="009E6ACE">
        <w:t>eview</w:t>
      </w:r>
      <w:r w:rsidRPr="009E6ACE">
        <w:t>;</w:t>
      </w:r>
    </w:p>
    <w:p w:rsidR="005B77ED" w:rsidRPr="005B77ED" w:rsidRDefault="005B77ED" w:rsidP="00F5054C">
      <w:pPr>
        <w:pStyle w:val="ListParagraph"/>
        <w:numPr>
          <w:ilvl w:val="0"/>
          <w:numId w:val="81"/>
        </w:numPr>
      </w:pPr>
      <w:r w:rsidRPr="005B77ED">
        <w:t xml:space="preserve">Selection of </w:t>
      </w:r>
      <w:r w:rsidR="00DD00BD">
        <w:t xml:space="preserve">a </w:t>
      </w:r>
      <w:r w:rsidRPr="005B77ED">
        <w:t>review team which consists of external and internal experts</w:t>
      </w:r>
      <w:r w:rsidR="000B54EF">
        <w:t xml:space="preserve"> and is developed in consultation with the department and dean;</w:t>
      </w:r>
    </w:p>
    <w:p w:rsidR="005B77ED" w:rsidRDefault="005B77ED" w:rsidP="00F5054C">
      <w:pPr>
        <w:pStyle w:val="ListParagraph"/>
        <w:numPr>
          <w:ilvl w:val="0"/>
          <w:numId w:val="81"/>
        </w:numPr>
      </w:pPr>
      <w:r>
        <w:t xml:space="preserve">Two-day site visit which includes interviews with relevant parties, </w:t>
      </w:r>
      <w:r w:rsidR="00DD00BD">
        <w:t xml:space="preserve">the </w:t>
      </w:r>
      <w:r>
        <w:t>dean</w:t>
      </w:r>
      <w:r w:rsidR="00DD00BD">
        <w:t>,</w:t>
      </w:r>
      <w:r>
        <w:t xml:space="preserve"> and the provost</w:t>
      </w:r>
      <w:r w:rsidR="000B54EF">
        <w:t>;</w:t>
      </w:r>
    </w:p>
    <w:p w:rsidR="005B77ED" w:rsidRDefault="005B77ED" w:rsidP="00F5054C">
      <w:pPr>
        <w:pStyle w:val="ListParagraph"/>
        <w:numPr>
          <w:ilvl w:val="0"/>
          <w:numId w:val="81"/>
        </w:numPr>
      </w:pPr>
      <w:r>
        <w:t>Drafting of final report by the review team, with follow-up fact-checking by the department</w:t>
      </w:r>
      <w:r w:rsidR="000B54EF">
        <w:t>;</w:t>
      </w:r>
    </w:p>
    <w:p w:rsidR="000B54EF" w:rsidRDefault="00DD00BD" w:rsidP="00F5054C">
      <w:pPr>
        <w:pStyle w:val="ListParagraph"/>
        <w:numPr>
          <w:ilvl w:val="0"/>
          <w:numId w:val="81"/>
        </w:numPr>
      </w:pPr>
      <w:r>
        <w:t>Response statements</w:t>
      </w:r>
      <w:r w:rsidR="000B54EF">
        <w:t xml:space="preserve"> drafted by the department, dean, and provost to ensure that the feedback loop is completed;</w:t>
      </w:r>
    </w:p>
    <w:p w:rsidR="000B54EF" w:rsidRPr="005B77ED" w:rsidRDefault="000B54EF" w:rsidP="00F5054C">
      <w:pPr>
        <w:pStyle w:val="ListParagraph"/>
        <w:numPr>
          <w:ilvl w:val="0"/>
          <w:numId w:val="81"/>
        </w:numPr>
      </w:pPr>
      <w:r>
        <w:t>Summary report created by the Academic Program Review Committee and submitted to University Senate.</w:t>
      </w:r>
    </w:p>
    <w:p w:rsidR="00B66B13" w:rsidRDefault="00B66B13" w:rsidP="00A82677">
      <w:r w:rsidRPr="00A82677">
        <w:t>Selected degree programs also undergo third-</w:t>
      </w:r>
      <w:r w:rsidR="005976FF">
        <w:t xml:space="preserve">party accreditation evaluations; </w:t>
      </w:r>
      <w:r w:rsidR="00DD00BD">
        <w:t xml:space="preserve">in those situations, </w:t>
      </w:r>
      <w:r w:rsidR="005976FF">
        <w:t>departments work with the dean to coordinate and incorporate this evaluation into the academic program review process.</w:t>
      </w:r>
      <w:r w:rsidRPr="00A82677">
        <w:t xml:space="preserve">  </w:t>
      </w:r>
      <w:r w:rsidR="006B39DA">
        <w:t>The Office of Institutional Research and the Unive</w:t>
      </w:r>
      <w:r w:rsidR="006E763F">
        <w:t>rsity Registrar provide</w:t>
      </w:r>
      <w:r w:rsidR="006B39DA">
        <w:t xml:space="preserve"> consistent data to departments relating to faculty FTE, course offerings and enrollments, number of majors, etc. to aid in the review. </w:t>
      </w:r>
    </w:p>
    <w:p w:rsidR="00562483" w:rsidRDefault="001B04D7" w:rsidP="00A82677">
      <w:r>
        <w:t>Key to this process is ensuring that improvements are made</w:t>
      </w:r>
      <w:r w:rsidR="00100381">
        <w:t xml:space="preserve"> following the review</w:t>
      </w:r>
      <w:r>
        <w:t>.  Toward that end, the provost, associate provost, dean</w:t>
      </w:r>
      <w:r w:rsidR="006E763F">
        <w:t>,</w:t>
      </w:r>
      <w:r>
        <w:t xml:space="preserve"> and department chair meet to discuss the report and responses and to formulate strategies for improvement</w:t>
      </w:r>
      <w:r w:rsidR="006B04A5">
        <w:t xml:space="preserve">.  </w:t>
      </w:r>
    </w:p>
    <w:p w:rsidR="006B04A5" w:rsidRDefault="006B04A5" w:rsidP="00A82677">
      <w:r>
        <w:t xml:space="preserve">The revised program review process </w:t>
      </w:r>
      <w:r w:rsidR="006E763F">
        <w:t xml:space="preserve">has already </w:t>
      </w:r>
      <w:r>
        <w:t>resulted in several programmatic changes in its first year of implementation. Examining the landscape of the role of bachelor</w:t>
      </w:r>
      <w:r w:rsidR="006E763F">
        <w:t>’</w:t>
      </w:r>
      <w:r>
        <w:t xml:space="preserve">s and master’s degrees in the social sciences, one </w:t>
      </w:r>
      <w:r>
        <w:lastRenderedPageBreak/>
        <w:t>program re-aligned its undergraduate and graduate curriculum to create flexible pathways in tracks designed to allow students to pursue multiple career options (e.g., research and advanced graduate studies, application of principles and practice for direct career placement). These pathways specifically included clear mechanisms for students to obtain both a bachelor</w:t>
      </w:r>
      <w:r w:rsidR="006E763F">
        <w:t>’</w:t>
      </w:r>
      <w:r>
        <w:t xml:space="preserve">s and master’s degree within a 4+1 program. Comparing their past performance to future goals, another program identified the need to enhance its strength in the participation of undergraduate students in inquiry activities and research. That program review resulted in a revision of the department’s requirements related to independent studies and research by undergraduates. A third program used their review to decide that they will begin discussions of merging with another department in order to combine and enhance strengths of both programs.  </w:t>
      </w:r>
    </w:p>
    <w:p w:rsidR="00FC7D00" w:rsidRPr="00FC7D00" w:rsidRDefault="008F2AFE" w:rsidP="006232B1">
      <w:r>
        <w:t xml:space="preserve">Policies governing the transcription of </w:t>
      </w:r>
      <w:r w:rsidR="00D95170">
        <w:t xml:space="preserve">credit are </w:t>
      </w:r>
      <w:r>
        <w:t>authorized by the Academic Policy Committee and University Senate, and they must be aligned with the Ohio Board of Regents tran</w:t>
      </w:r>
      <w:r w:rsidR="00C352AF">
        <w:t>sfer and articulation policies</w:t>
      </w:r>
      <w:r>
        <w:t>.</w:t>
      </w:r>
      <w:r w:rsidR="00C352AF">
        <w:t xml:space="preserve"> </w:t>
      </w:r>
      <w:r w:rsidR="001537F7">
        <w:t xml:space="preserve">  Described in the General Bulletin, these policies articulate the standards for AP credit, requirements concerning minimum </w:t>
      </w:r>
      <w:r w:rsidR="001537F7" w:rsidRPr="00FC7D00">
        <w:t xml:space="preserve">length of study, credit-hour equivalency, </w:t>
      </w:r>
      <w:r w:rsidR="0054125D" w:rsidRPr="00FC7D00">
        <w:t>the process of evaluating credit and applying transfer courses to the general education requirements</w:t>
      </w:r>
      <w:r w:rsidR="006B49A4" w:rsidRPr="00FC7D00">
        <w:t xml:space="preserve">, and </w:t>
      </w:r>
      <w:r w:rsidR="001537F7" w:rsidRPr="00FC7D00">
        <w:t xml:space="preserve">clear parameters for graduation requirements, including the number of credits that must be completed at Miami.  </w:t>
      </w:r>
      <w:r w:rsidR="008B6760" w:rsidRPr="00FC7D00">
        <w:t>It also explains the speci</w:t>
      </w:r>
      <w:r w:rsidR="006232B1">
        <w:t xml:space="preserve">fic course credit students </w:t>
      </w:r>
      <w:r w:rsidR="008B6760" w:rsidRPr="00FC7D00">
        <w:t>receive for completion of the Ohio Transfer Module (which is a set of core courses equivalent to 36-40 semester hours that all Ohio public colleges and universities have ag</w:t>
      </w:r>
      <w:r w:rsidR="006232B1">
        <w:t xml:space="preserve">reed </w:t>
      </w:r>
      <w:r w:rsidR="008B6760" w:rsidRPr="00FC7D00">
        <w:t xml:space="preserve">count for credit at any Ohio school) as well as </w:t>
      </w:r>
      <w:r w:rsidR="006B49A4" w:rsidRPr="00FC7D00">
        <w:t xml:space="preserve">Transfer Assurance Guides and Career-Technical Assurance Guides.  </w:t>
      </w:r>
      <w:r w:rsidR="004646F8" w:rsidRPr="00FC7D00">
        <w:t>Miami has also entered comprehensive data in the Ohio Board of Regents</w:t>
      </w:r>
      <w:r w:rsidR="00704686">
        <w:t>’</w:t>
      </w:r>
      <w:r w:rsidR="004646F8" w:rsidRPr="00FC7D00">
        <w:t xml:space="preserve"> </w:t>
      </w:r>
      <w:r w:rsidR="006232B1">
        <w:t>“Transferology” system (</w:t>
      </w:r>
      <w:r w:rsidR="004646F8" w:rsidRPr="00FC7D00">
        <w:t>a statewide online tool which prospective students can use to gauge how well their college credits from high school and other public i</w:t>
      </w:r>
      <w:r w:rsidR="00FC7D00" w:rsidRPr="00FC7D00">
        <w:t>nstitutions will transfer to Miami and other Ohio public institutions</w:t>
      </w:r>
      <w:r w:rsidR="006232B1">
        <w:t>)</w:t>
      </w:r>
      <w:r w:rsidR="00FC7D00" w:rsidRPr="00FC7D00">
        <w:t>.</w:t>
      </w:r>
    </w:p>
    <w:p w:rsidR="008F2AFE" w:rsidRDefault="00755594" w:rsidP="00C352AF">
      <w:r>
        <w:t>Evaluations of undergraduate credits</w:t>
      </w:r>
      <w:r w:rsidR="006B6869">
        <w:t xml:space="preserve"> are conducted by </w:t>
      </w:r>
      <w:r>
        <w:t xml:space="preserve">the </w:t>
      </w:r>
      <w:r w:rsidR="00E008E3">
        <w:t>Office of the</w:t>
      </w:r>
      <w:r w:rsidR="00C91B71">
        <w:t xml:space="preserve"> </w:t>
      </w:r>
      <w:r>
        <w:t xml:space="preserve">University Registrar.  </w:t>
      </w:r>
      <w:r w:rsidR="003F1692">
        <w:t>Students may petition for tran</w:t>
      </w:r>
      <w:r w:rsidR="006A29D9">
        <w:t>scription of credit. P</w:t>
      </w:r>
      <w:r w:rsidR="003F1692">
        <w:t xml:space="preserve">etitions are evaluated by the University Registrar and require </w:t>
      </w:r>
      <w:r w:rsidR="002C1C4B">
        <w:t xml:space="preserve">detailed information about the course for which credit is being sought and approval by the relevant department.  </w:t>
      </w:r>
    </w:p>
    <w:p w:rsidR="00FB0297" w:rsidRDefault="00FB0297" w:rsidP="00FB0297">
      <w:r>
        <w:t>The new Global Miami Plan includes a clear set of criteria</w:t>
      </w:r>
      <w:r w:rsidR="000C529C">
        <w:t xml:space="preserve"> </w:t>
      </w:r>
      <w:r>
        <w:t>for an experiential learning requirement</w:t>
      </w:r>
      <w:r w:rsidR="000C529C">
        <w:t>, including:</w:t>
      </w:r>
    </w:p>
    <w:p w:rsidR="000C529C" w:rsidRDefault="000C529C" w:rsidP="00F5054C">
      <w:pPr>
        <w:pStyle w:val="ListParagraph"/>
        <w:numPr>
          <w:ilvl w:val="0"/>
          <w:numId w:val="82"/>
        </w:numPr>
      </w:pPr>
      <w:r>
        <w:t>Connection of academic ideas, concepts, and skills to a new and different context</w:t>
      </w:r>
      <w:r w:rsidR="006A29D9">
        <w:t>;</w:t>
      </w:r>
    </w:p>
    <w:p w:rsidR="000C529C" w:rsidRDefault="000C529C" w:rsidP="00F5054C">
      <w:pPr>
        <w:pStyle w:val="ListParagraph"/>
        <w:numPr>
          <w:ilvl w:val="0"/>
          <w:numId w:val="82"/>
        </w:numPr>
      </w:pPr>
      <w:r>
        <w:t>Facilitated and guided practice</w:t>
      </w:r>
      <w:r w:rsidR="006A29D9">
        <w:t>;</w:t>
      </w:r>
    </w:p>
    <w:p w:rsidR="000C529C" w:rsidRDefault="000C529C" w:rsidP="00F5054C">
      <w:pPr>
        <w:pStyle w:val="ListParagraph"/>
        <w:numPr>
          <w:ilvl w:val="0"/>
          <w:numId w:val="82"/>
        </w:numPr>
      </w:pPr>
      <w:r>
        <w:t>Sustained duration or immersion (the amount of time engaged should be the equivalent of at least one credit for at least one academic term)</w:t>
      </w:r>
      <w:r w:rsidR="006A29D9">
        <w:t>;</w:t>
      </w:r>
    </w:p>
    <w:p w:rsidR="000C529C" w:rsidRDefault="000C529C" w:rsidP="00F5054C">
      <w:pPr>
        <w:pStyle w:val="ListParagraph"/>
        <w:numPr>
          <w:ilvl w:val="0"/>
          <w:numId w:val="82"/>
        </w:numPr>
      </w:pPr>
      <w:r>
        <w:t xml:space="preserve">Opportunity for reflection on the learning goals and relation of experience to relevant liberal education competencies.  </w:t>
      </w:r>
    </w:p>
    <w:p w:rsidR="000C529C" w:rsidRPr="00160F4D" w:rsidRDefault="000E1F6B" w:rsidP="000C529C">
      <w:pPr>
        <w:jc w:val="both"/>
      </w:pPr>
      <w:r>
        <w:t>A</w:t>
      </w:r>
      <w:r w:rsidR="006C3E6C">
        <w:t xml:space="preserve">ctivities </w:t>
      </w:r>
      <w:r w:rsidR="006A29D9">
        <w:t xml:space="preserve">that </w:t>
      </w:r>
      <w:r w:rsidR="006C3E6C">
        <w:t>count for e</w:t>
      </w:r>
      <w:r>
        <w:t xml:space="preserve">xperiential learning have been articulated as well as </w:t>
      </w:r>
      <w:r w:rsidR="006C3E6C">
        <w:t xml:space="preserve">concrete </w:t>
      </w:r>
      <w:r>
        <w:t>guidelines to assure</w:t>
      </w:r>
      <w:r w:rsidR="000C529C">
        <w:t xml:space="preserve"> that the academic rigor and educational effectiv</w:t>
      </w:r>
      <w:r>
        <w:t>eness of the experience ar</w:t>
      </w:r>
      <w:r w:rsidR="000C529C">
        <w:t xml:space="preserve">e comparable to those of other institutional offerings.   </w:t>
      </w:r>
    </w:p>
    <w:p w:rsidR="00FB0297" w:rsidRPr="00FB0297" w:rsidRDefault="006B6869" w:rsidP="00FB0297">
      <w:r>
        <w:t xml:space="preserve">In addition to the new experiential learning requirement, </w:t>
      </w:r>
      <w:r w:rsidR="00C91776" w:rsidRPr="00FB0297">
        <w:t xml:space="preserve">Miami is participating in a new initiative launched by the Ohio Board of Regents called </w:t>
      </w:r>
      <w:r w:rsidR="006E723A">
        <w:t>“</w:t>
      </w:r>
      <w:r w:rsidR="00C91776" w:rsidRPr="00FB0297">
        <w:t>PLA with a</w:t>
      </w:r>
      <w:r w:rsidR="006D0C9D" w:rsidRPr="00FB0297">
        <w:t xml:space="preserve"> Purpose.</w:t>
      </w:r>
      <w:r w:rsidR="006E723A">
        <w:t>”</w:t>
      </w:r>
      <w:r w:rsidR="006D0C9D" w:rsidRPr="00FB0297">
        <w:t xml:space="preserve">  In collaboration with OB</w:t>
      </w:r>
      <w:r w:rsidR="006A29D9">
        <w:t>O</w:t>
      </w:r>
      <w:r w:rsidR="006D0C9D" w:rsidRPr="00FB0297">
        <w:t>R and using standards developed by the Council for Adult and Experiential Learning, Miami is developing plans for awarding appropriate college credit for learning that has occurred outside the classroom.  An ad hoc planning group is developing a set of methods for evaluating credit that include: individualized portfolio-based assessments, standardized exams (e.g., College Level Examination Pro</w:t>
      </w:r>
      <w:r>
        <w:t>gram</w:t>
      </w:r>
      <w:r w:rsidR="006D0C9D" w:rsidRPr="00FB0297">
        <w:t xml:space="preserve">), </w:t>
      </w:r>
      <w:r w:rsidR="00FB0297" w:rsidRPr="00FB0297">
        <w:t>and published credit recommendation guides, such as the evaluation of military training and service and industrial and corporate training produced by the American Council on Education (ACE)</w:t>
      </w:r>
    </w:p>
    <w:p w:rsidR="00721E01" w:rsidRDefault="00FC5BF9" w:rsidP="00890B88">
      <w:r>
        <w:lastRenderedPageBreak/>
        <w:t>As noted in the narrative for 3.C criterion, dual enrollment policies and guidelines are in place</w:t>
      </w:r>
      <w:r w:rsidR="00890B88">
        <w:t xml:space="preserve"> to ensure consistency in academic q</w:t>
      </w:r>
      <w:r w:rsidR="003E51C0">
        <w:t xml:space="preserve">uality </w:t>
      </w:r>
      <w:r w:rsidR="003D772C">
        <w:t xml:space="preserve">and outcomes.  Course </w:t>
      </w:r>
      <w:r w:rsidR="00733D3D">
        <w:t xml:space="preserve">outcomes, </w:t>
      </w:r>
      <w:r w:rsidR="003D772C">
        <w:t>rigor, prerequisites</w:t>
      </w:r>
      <w:r w:rsidR="003E51C0">
        <w:t>,</w:t>
      </w:r>
      <w:r w:rsidR="003D772C">
        <w:t xml:space="preserve"> and expectations for learning in courses</w:t>
      </w:r>
      <w:r w:rsidR="006E723A">
        <w:t xml:space="preserve"> and degree programs are also safeguarded</w:t>
      </w:r>
      <w:r w:rsidR="003D772C">
        <w:t xml:space="preserve"> through th</w:t>
      </w:r>
      <w:r w:rsidR="00890B88">
        <w:t>e multi-level approval process (which include</w:t>
      </w:r>
      <w:r w:rsidR="004624BD">
        <w:t>s departmental, divisional and u</w:t>
      </w:r>
      <w:r w:rsidR="00890B88">
        <w:t>niversity level reviews) for courses described in the narrative for criterion 3.A</w:t>
      </w:r>
      <w:r w:rsidR="003D772C">
        <w:t xml:space="preserve">.  </w:t>
      </w:r>
      <w:r w:rsidR="00D323EA">
        <w:t>All new courses as wel</w:t>
      </w:r>
      <w:r w:rsidR="00A30D80">
        <w:t>l as existing courses that are being revised in significant ways</w:t>
      </w:r>
      <w:r w:rsidR="00D323EA">
        <w:t xml:space="preserve"> must be reviewed at multiple levels.  </w:t>
      </w:r>
      <w:r w:rsidR="003D772C">
        <w:t>Most introductory l</w:t>
      </w:r>
      <w:r w:rsidR="00A30D80">
        <w:t>evel courses also undergo</w:t>
      </w:r>
      <w:r w:rsidR="003D772C">
        <w:t xml:space="preserve"> </w:t>
      </w:r>
      <w:r w:rsidR="00E008E3">
        <w:t>TAG</w:t>
      </w:r>
      <w:r w:rsidR="00A30D80">
        <w:t xml:space="preserve"> (Transfer Assurance Guide) approval</w:t>
      </w:r>
      <w:r w:rsidR="003D772C">
        <w:t xml:space="preserve"> to ensure that the expectations, outcomes</w:t>
      </w:r>
      <w:r w:rsidR="00A20067">
        <w:t>,</w:t>
      </w:r>
      <w:r w:rsidR="003D772C">
        <w:t xml:space="preserve"> and rigor are aligned with other similar courses across the state of Ohio.  </w:t>
      </w:r>
      <w:r w:rsidR="006A3FEB">
        <w:t xml:space="preserve">Curricula are also reviewed during the academic program review process.  </w:t>
      </w:r>
    </w:p>
    <w:p w:rsidR="00FC7D00" w:rsidRDefault="004624BD" w:rsidP="00890B88">
      <w:r>
        <w:t>In 2013, the u</w:t>
      </w:r>
      <w:r w:rsidR="00FC7D00">
        <w:t xml:space="preserve">niversity created the Academic Partnerships Committee to oversee the development and quality of partnerships with high schools and other colleges and universities and to develop guidelines and protocols for sustained and </w:t>
      </w:r>
      <w:r w:rsidR="00A20067">
        <w:t>mutually beneficial partnership activities, including articulation agreements and dual degrees</w:t>
      </w:r>
      <w:r w:rsidR="00FC7D00">
        <w:t>.</w:t>
      </w:r>
    </w:p>
    <w:p w:rsidR="006A3FEB" w:rsidRDefault="006A3FEB" w:rsidP="00890B88">
      <w:r>
        <w:t>Proposals for new degree programs a</w:t>
      </w:r>
      <w:r w:rsidR="004624BD">
        <w:t>nd majors</w:t>
      </w:r>
      <w:r>
        <w:t xml:space="preserve"> include a description of the faculty and their qualifications who will deliver the curriculum as well as a description of any additional learning resources that </w:t>
      </w:r>
      <w:r w:rsidR="004624BD">
        <w:t>ar</w:t>
      </w:r>
      <w:r w:rsidR="007A2C87">
        <w:t xml:space="preserve">e needed to support students.   These rationales are reviewed at all levels of the approval process, including the Ohio Board of Regents.  </w:t>
      </w:r>
      <w:r w:rsidR="004B0572">
        <w:t xml:space="preserve">Course descriptions and expectations are included in the General Bulletin.  </w:t>
      </w:r>
      <w:r w:rsidR="007A2C87">
        <w:t xml:space="preserve">Each year, departments and divisions have the opportunity to review and make changes to </w:t>
      </w:r>
      <w:r w:rsidR="00A20067">
        <w:t xml:space="preserve">course offerings and descriptions </w:t>
      </w:r>
      <w:r w:rsidR="007A2C87">
        <w:t xml:space="preserve">during the process of revising the General Bulletin.  </w:t>
      </w:r>
    </w:p>
    <w:p w:rsidR="004B0572" w:rsidRDefault="004B0572" w:rsidP="006714D0">
      <w:r>
        <w:t>The quality of faculty</w:t>
      </w:r>
      <w:r w:rsidR="006714D0">
        <w:t xml:space="preserve"> in delivering rigorous learning experiences</w:t>
      </w:r>
      <w:r>
        <w:t xml:space="preserve"> is further assured through the annual evaluation</w:t>
      </w:r>
      <w:r w:rsidR="006714D0">
        <w:t xml:space="preserve"> and promotion &amp; tenure process.  To be promoted, faculty must demonstrate high quality teaching through multiple measures of t</w:t>
      </w:r>
      <w:r w:rsidR="00EF5E7A">
        <w:t xml:space="preserve">eaching effectiveness such as </w:t>
      </w:r>
      <w:r w:rsidR="006714D0">
        <w:t>course evaluations, peer reviews, Small Group Instructional Diagnosis</w:t>
      </w:r>
      <w:r w:rsidR="00EF5E7A">
        <w:t xml:space="preserve"> (SGID)</w:t>
      </w:r>
      <w:r w:rsidR="006714D0">
        <w:t>, and teachi</w:t>
      </w:r>
      <w:r w:rsidR="00733D3D">
        <w:t>ng portfolios</w:t>
      </w:r>
      <w:r w:rsidR="00D323EA">
        <w:t xml:space="preserve">, and they are also expected to participate in teaching development programs </w:t>
      </w:r>
      <w:r w:rsidR="00911B42">
        <w:t xml:space="preserve">through CELTUA, the Howe Writing Center, or other venues.  </w:t>
      </w:r>
      <w:r w:rsidR="00847072">
        <w:t xml:space="preserve">Because Miami places a premium </w:t>
      </w:r>
      <w:r w:rsidR="004624BD">
        <w:t>on excellence in teaching, the u</w:t>
      </w:r>
      <w:r w:rsidR="00847072">
        <w:t xml:space="preserve">niversity offers a number of prestigious teaching awards, including </w:t>
      </w:r>
      <w:r w:rsidR="00EF5E7A">
        <w:t xml:space="preserve">the </w:t>
      </w:r>
      <w:r w:rsidR="00847072">
        <w:t>Distinguished Educator Award, Distinguished Teaching Award, and the ASG Professor of the Year Award.</w:t>
      </w:r>
    </w:p>
    <w:p w:rsidR="00721E01" w:rsidRDefault="002219E2" w:rsidP="003D51C4">
      <w:r>
        <w:t xml:space="preserve">Miami maintains an extensive infrastructure and resources to support student learning, as described in the narrative for 3.D. </w:t>
      </w:r>
      <w:r w:rsidR="00FB2DB8">
        <w:t xml:space="preserve">  Authority over these resources is maintained through colla</w:t>
      </w:r>
      <w:r w:rsidR="005158B1">
        <w:t>boration among the provost, vice president for student a</w:t>
      </w:r>
      <w:r w:rsidR="00FB2DB8">
        <w:t>ffairs</w:t>
      </w:r>
      <w:r w:rsidR="003D51C4">
        <w:t xml:space="preserve">, </w:t>
      </w:r>
      <w:r w:rsidR="005158B1">
        <w:t>vice president for enrollment management &amp; student s</w:t>
      </w:r>
      <w:r w:rsidR="00FB2DB8">
        <w:t>uccess</w:t>
      </w:r>
      <w:r w:rsidR="005158B1">
        <w:t>, vice president of i</w:t>
      </w:r>
      <w:r w:rsidR="003D51C4">
        <w:t>n</w:t>
      </w:r>
      <w:r w:rsidR="005158B1">
        <w:t>formation technology s</w:t>
      </w:r>
      <w:r w:rsidR="00FF4EF5">
        <w:t>ervices</w:t>
      </w:r>
      <w:r w:rsidR="003D51C4">
        <w:t xml:space="preserve">.  These leaders communicate regularly in the President’s Executive Council and with the </w:t>
      </w:r>
      <w:r w:rsidR="00FA10B6">
        <w:t>dea</w:t>
      </w:r>
      <w:r w:rsidR="005158B1">
        <w:t>n of the University Libraries, dean of s</w:t>
      </w:r>
      <w:r w:rsidR="00FA10B6">
        <w:t xml:space="preserve">tudents, and other </w:t>
      </w:r>
      <w:r w:rsidR="003D51C4">
        <w:t xml:space="preserve">academic deans in the Council of Academic Deans meetings.  </w:t>
      </w:r>
    </w:p>
    <w:p w:rsidR="00C9219A" w:rsidRDefault="00FA10B6" w:rsidP="003D51C4">
      <w:r>
        <w:t>The following academic programs are accredited by specialized accrediting bodies:</w:t>
      </w:r>
    </w:p>
    <w:p w:rsidR="009F15B6" w:rsidRDefault="009F15B6" w:rsidP="00911E98">
      <w:pPr>
        <w:pStyle w:val="Heading4"/>
      </w:pPr>
      <w:r>
        <w:t>College of Arts &amp; Science</w:t>
      </w:r>
    </w:p>
    <w:p w:rsidR="000C71A0" w:rsidRDefault="000C71A0" w:rsidP="00F5054C">
      <w:pPr>
        <w:pStyle w:val="ListParagraph"/>
        <w:numPr>
          <w:ilvl w:val="0"/>
          <w:numId w:val="83"/>
        </w:numPr>
      </w:pPr>
      <w:r>
        <w:t>Biological Sciences, MAT Program, National Science Teachers Association</w:t>
      </w:r>
      <w:r w:rsidR="000D60F8">
        <w:t xml:space="preserve"> (NSTA)</w:t>
      </w:r>
    </w:p>
    <w:p w:rsidR="00C9219A" w:rsidRDefault="00C9219A" w:rsidP="00F5054C">
      <w:pPr>
        <w:pStyle w:val="ListParagraph"/>
        <w:numPr>
          <w:ilvl w:val="0"/>
          <w:numId w:val="83"/>
        </w:numPr>
      </w:pPr>
      <w:r>
        <w:t>Chemistry, American Chemical Society</w:t>
      </w:r>
    </w:p>
    <w:p w:rsidR="000D60F8" w:rsidRDefault="000D60F8" w:rsidP="00F5054C">
      <w:pPr>
        <w:pStyle w:val="ListParagraph"/>
        <w:numPr>
          <w:ilvl w:val="0"/>
          <w:numId w:val="83"/>
        </w:numPr>
      </w:pPr>
      <w:r>
        <w:t>Chemistry, MAT Program, NSTA</w:t>
      </w:r>
    </w:p>
    <w:p w:rsidR="00C9219A" w:rsidRDefault="00C9219A" w:rsidP="00F5054C">
      <w:pPr>
        <w:pStyle w:val="ListParagraph"/>
        <w:numPr>
          <w:ilvl w:val="0"/>
          <w:numId w:val="83"/>
        </w:numPr>
      </w:pPr>
      <w:r>
        <w:t>Clinical Psychology, Doctoral Program, American Psychological Association</w:t>
      </w:r>
    </w:p>
    <w:p w:rsidR="000D60F8" w:rsidRDefault="000D60F8" w:rsidP="00F5054C">
      <w:pPr>
        <w:pStyle w:val="ListParagraph"/>
        <w:numPr>
          <w:ilvl w:val="0"/>
          <w:numId w:val="83"/>
        </w:numPr>
      </w:pPr>
      <w:r>
        <w:t>Earth Sciences, MAT Program, NSTA</w:t>
      </w:r>
    </w:p>
    <w:p w:rsidR="000C71A0" w:rsidRDefault="000C71A0" w:rsidP="00F5054C">
      <w:pPr>
        <w:pStyle w:val="ListParagraph"/>
        <w:numPr>
          <w:ilvl w:val="0"/>
          <w:numId w:val="83"/>
        </w:numPr>
      </w:pPr>
      <w:r>
        <w:t>English, MAT Program, National Council of Teachers of English (NCATE)</w:t>
      </w:r>
    </w:p>
    <w:p w:rsidR="000C71A0" w:rsidRDefault="000C71A0" w:rsidP="00F5054C">
      <w:pPr>
        <w:pStyle w:val="ListParagraph"/>
        <w:numPr>
          <w:ilvl w:val="0"/>
          <w:numId w:val="83"/>
        </w:numPr>
      </w:pPr>
      <w:r>
        <w:t>Mathematics, MAT Program, National Association of Teachers of Mathematics</w:t>
      </w:r>
    </w:p>
    <w:p w:rsidR="00B408CF" w:rsidRDefault="00B408CF" w:rsidP="00F5054C">
      <w:pPr>
        <w:pStyle w:val="ListParagraph"/>
        <w:numPr>
          <w:ilvl w:val="0"/>
          <w:numId w:val="83"/>
        </w:numPr>
      </w:pPr>
      <w:r>
        <w:t>Physical Sciences, MAT Program, NSTA</w:t>
      </w:r>
    </w:p>
    <w:p w:rsidR="00731049" w:rsidRPr="00731049" w:rsidRDefault="00C9219A" w:rsidP="00F5054C">
      <w:pPr>
        <w:pStyle w:val="ListParagraph"/>
        <w:numPr>
          <w:ilvl w:val="0"/>
          <w:numId w:val="83"/>
        </w:numPr>
      </w:pPr>
      <w:r>
        <w:t>Speech Pathology &amp; Audiology, American Speech-Lan</w:t>
      </w:r>
      <w:r w:rsidR="00BE3861">
        <w:t>guage-Hearing Association; Council for the Accreditation of Educator Preparedness (CAEP</w:t>
      </w:r>
      <w:r w:rsidR="00190675">
        <w:t>--formerly known as NCATE</w:t>
      </w:r>
      <w:r w:rsidR="00BE3861">
        <w:t>)</w:t>
      </w:r>
    </w:p>
    <w:p w:rsidR="009F15B6" w:rsidRDefault="009F15B6" w:rsidP="00911E98">
      <w:pPr>
        <w:pStyle w:val="Heading4"/>
      </w:pPr>
      <w:r>
        <w:lastRenderedPageBreak/>
        <w:t>College of Creative Arts</w:t>
      </w:r>
    </w:p>
    <w:p w:rsidR="008308A8" w:rsidRPr="00DC10DE" w:rsidRDefault="008308A8" w:rsidP="008308A8">
      <w:pPr>
        <w:pStyle w:val="ListParagraph"/>
        <w:numPr>
          <w:ilvl w:val="1"/>
          <w:numId w:val="86"/>
        </w:numPr>
        <w:ind w:left="720"/>
        <w:rPr>
          <w:rFonts w:eastAsia="Times New Roman"/>
        </w:rPr>
      </w:pPr>
      <w:r w:rsidRPr="00DC10DE">
        <w:rPr>
          <w:rFonts w:eastAsia="Times New Roman"/>
        </w:rPr>
        <w:t xml:space="preserve">Architecture &amp; Interior Design Department: </w:t>
      </w:r>
    </w:p>
    <w:p w:rsidR="008308A8" w:rsidRPr="00CA79BB" w:rsidRDefault="008308A8" w:rsidP="008308A8">
      <w:pPr>
        <w:pStyle w:val="ListParagraph"/>
        <w:numPr>
          <w:ilvl w:val="0"/>
          <w:numId w:val="88"/>
        </w:numPr>
        <w:ind w:left="1080"/>
        <w:rPr>
          <w:rFonts w:eastAsia="Times New Roman"/>
        </w:rPr>
      </w:pPr>
      <w:r w:rsidRPr="00CA79BB">
        <w:rPr>
          <w:rFonts w:eastAsia="Times New Roman"/>
        </w:rPr>
        <w:t>Architecture: National Association of Schools of Architecture (NASA)</w:t>
      </w:r>
    </w:p>
    <w:p w:rsidR="008308A8" w:rsidRPr="00CA79BB" w:rsidRDefault="008308A8" w:rsidP="008308A8">
      <w:pPr>
        <w:pStyle w:val="ListParagraph"/>
        <w:numPr>
          <w:ilvl w:val="0"/>
          <w:numId w:val="88"/>
        </w:numPr>
        <w:ind w:left="1080"/>
        <w:rPr>
          <w:rFonts w:eastAsia="Times New Roman"/>
        </w:rPr>
      </w:pPr>
      <w:r w:rsidRPr="00CA79BB">
        <w:rPr>
          <w:rFonts w:eastAsia="Times New Roman"/>
        </w:rPr>
        <w:t>Interior Design: Council for Interior Design Accreditation (CIDA) and NASAD</w:t>
      </w:r>
    </w:p>
    <w:p w:rsidR="008308A8" w:rsidRPr="00CA79BB" w:rsidRDefault="008308A8" w:rsidP="008308A8">
      <w:pPr>
        <w:pStyle w:val="ListParagraph"/>
        <w:numPr>
          <w:ilvl w:val="0"/>
          <w:numId w:val="88"/>
        </w:numPr>
        <w:ind w:left="1080"/>
        <w:rPr>
          <w:rFonts w:eastAsia="Times New Roman"/>
        </w:rPr>
      </w:pPr>
      <w:r>
        <w:t>Architecture (Master's): National Architecture Accrediting Board</w:t>
      </w:r>
    </w:p>
    <w:p w:rsidR="008308A8" w:rsidRPr="00DC10DE" w:rsidRDefault="008308A8" w:rsidP="008308A8">
      <w:pPr>
        <w:pStyle w:val="ListParagraph"/>
        <w:numPr>
          <w:ilvl w:val="0"/>
          <w:numId w:val="85"/>
        </w:numPr>
        <w:rPr>
          <w:rFonts w:eastAsia="Times New Roman"/>
        </w:rPr>
      </w:pPr>
      <w:r w:rsidRPr="00DC10DE">
        <w:rPr>
          <w:rFonts w:eastAsia="Times New Roman"/>
        </w:rPr>
        <w:t xml:space="preserve">Art Department: </w:t>
      </w:r>
    </w:p>
    <w:p w:rsidR="008308A8" w:rsidRPr="00CA79BB" w:rsidRDefault="008308A8" w:rsidP="008308A8">
      <w:pPr>
        <w:pStyle w:val="ListParagraph"/>
        <w:numPr>
          <w:ilvl w:val="0"/>
          <w:numId w:val="87"/>
        </w:numPr>
        <w:ind w:left="1080"/>
        <w:rPr>
          <w:rFonts w:eastAsia="Times New Roman"/>
        </w:rPr>
      </w:pPr>
      <w:r w:rsidRPr="00CA79BB">
        <w:rPr>
          <w:rFonts w:eastAsia="Times New Roman"/>
        </w:rPr>
        <w:t>Art: National Association of Schools of Art and Design (NASAD)</w:t>
      </w:r>
    </w:p>
    <w:p w:rsidR="008308A8" w:rsidRPr="00CA79BB" w:rsidRDefault="008308A8" w:rsidP="008308A8">
      <w:pPr>
        <w:pStyle w:val="ListParagraph"/>
        <w:numPr>
          <w:ilvl w:val="0"/>
          <w:numId w:val="87"/>
        </w:numPr>
        <w:ind w:left="1080"/>
        <w:rPr>
          <w:rFonts w:eastAsia="Times New Roman" w:cs="Arial"/>
          <w:color w:val="000000"/>
        </w:rPr>
      </w:pPr>
      <w:r w:rsidRPr="00CA79BB">
        <w:rPr>
          <w:rFonts w:eastAsia="Times New Roman" w:cs="Arial"/>
          <w:color w:val="000000"/>
        </w:rPr>
        <w:t>Art Education: Council for the Accreditation of Educator Preparation (CAEP) , National Association of Schools of Art and Design</w:t>
      </w:r>
    </w:p>
    <w:p w:rsidR="008308A8" w:rsidRPr="00DC10DE" w:rsidRDefault="008308A8" w:rsidP="008308A8">
      <w:pPr>
        <w:pStyle w:val="ListParagraph"/>
        <w:numPr>
          <w:ilvl w:val="0"/>
          <w:numId w:val="84"/>
        </w:numPr>
        <w:rPr>
          <w:rFonts w:eastAsia="Times New Roman"/>
        </w:rPr>
      </w:pPr>
      <w:r w:rsidRPr="00DC10DE">
        <w:rPr>
          <w:rFonts w:eastAsia="Times New Roman"/>
        </w:rPr>
        <w:t xml:space="preserve">Music Department: </w:t>
      </w:r>
    </w:p>
    <w:p w:rsidR="008308A8" w:rsidRPr="00CA79BB" w:rsidRDefault="008308A8" w:rsidP="008308A8">
      <w:pPr>
        <w:pStyle w:val="ListParagraph"/>
        <w:numPr>
          <w:ilvl w:val="0"/>
          <w:numId w:val="89"/>
        </w:numPr>
        <w:ind w:left="1080"/>
        <w:rPr>
          <w:rFonts w:eastAsia="Times New Roman"/>
        </w:rPr>
      </w:pPr>
      <w:r w:rsidRPr="00CA79BB">
        <w:rPr>
          <w:rFonts w:eastAsia="Times New Roman"/>
        </w:rPr>
        <w:t>Music: National Association of Schools of Music (NASM)</w:t>
      </w:r>
    </w:p>
    <w:p w:rsidR="008308A8" w:rsidRPr="00CA79BB" w:rsidRDefault="008308A8" w:rsidP="008308A8">
      <w:pPr>
        <w:pStyle w:val="ListParagraph"/>
        <w:numPr>
          <w:ilvl w:val="0"/>
          <w:numId w:val="89"/>
        </w:numPr>
        <w:ind w:left="1080"/>
        <w:rPr>
          <w:rFonts w:eastAsia="Times New Roman"/>
        </w:rPr>
      </w:pPr>
      <w:r>
        <w:t>Music Education (CAEP)</w:t>
      </w:r>
    </w:p>
    <w:p w:rsidR="00C26422" w:rsidRPr="00DC10DE" w:rsidRDefault="00C26422" w:rsidP="00F5054C">
      <w:pPr>
        <w:pStyle w:val="ListParagraph"/>
        <w:numPr>
          <w:ilvl w:val="0"/>
          <w:numId w:val="84"/>
        </w:numPr>
        <w:rPr>
          <w:rFonts w:eastAsia="Times New Roman"/>
        </w:rPr>
      </w:pPr>
      <w:r w:rsidRPr="00DC10DE">
        <w:rPr>
          <w:rFonts w:eastAsia="Times New Roman"/>
        </w:rPr>
        <w:t>Theatre Department: National Association of Schools of Theatre (NAST)</w:t>
      </w:r>
    </w:p>
    <w:p w:rsidR="00FA10B6" w:rsidRPr="00BA387A" w:rsidRDefault="00911E98" w:rsidP="00BA387A">
      <w:pPr>
        <w:pStyle w:val="Heading4"/>
      </w:pPr>
      <w:r>
        <w:t>College of Education, Health, Society</w:t>
      </w:r>
    </w:p>
    <w:p w:rsidR="00147A6C" w:rsidRDefault="00147A6C" w:rsidP="00352668">
      <w:pPr>
        <w:pStyle w:val="ListParagraph"/>
        <w:numPr>
          <w:ilvl w:val="0"/>
          <w:numId w:val="90"/>
        </w:numPr>
      </w:pPr>
      <w:r>
        <w:t>Adolescent and Young Adult (AYA) Education:</w:t>
      </w:r>
    </w:p>
    <w:p w:rsidR="00147A6C" w:rsidRDefault="00147A6C" w:rsidP="00B51E36">
      <w:pPr>
        <w:pStyle w:val="ListParagraph"/>
        <w:numPr>
          <w:ilvl w:val="1"/>
          <w:numId w:val="90"/>
        </w:numPr>
      </w:pPr>
      <w:r w:rsidRPr="00CA79BB">
        <w:t>Integrated English Language Arts Education</w:t>
      </w:r>
      <w:r w:rsidR="00B51E36">
        <w:t>, graduate and undergraduate levels</w:t>
      </w:r>
      <w:r w:rsidRPr="00CA79BB">
        <w:t> </w:t>
      </w:r>
      <w:r>
        <w:t>(National Council of Teachers of English)</w:t>
      </w:r>
    </w:p>
    <w:p w:rsidR="00B51E36" w:rsidRDefault="00B51E36" w:rsidP="00B51E36">
      <w:pPr>
        <w:pStyle w:val="ListParagraph"/>
        <w:numPr>
          <w:ilvl w:val="1"/>
          <w:numId w:val="90"/>
        </w:numPr>
      </w:pPr>
      <w:r>
        <w:t>Integrated Mathematics Education, graduate and undergraduate levels (National Association of Teachers of Mathematics)</w:t>
      </w:r>
    </w:p>
    <w:p w:rsidR="00B51E36" w:rsidRPr="00CA79BB" w:rsidRDefault="00B51E36" w:rsidP="00B51E36">
      <w:pPr>
        <w:pStyle w:val="ListParagraph"/>
        <w:numPr>
          <w:ilvl w:val="1"/>
          <w:numId w:val="90"/>
        </w:numPr>
      </w:pPr>
      <w:r>
        <w:t>Integrated Social Science, graduate and undergraduate levels (National Council for the Social Studies)</w:t>
      </w:r>
    </w:p>
    <w:p w:rsidR="00147A6C" w:rsidRDefault="00B51E36" w:rsidP="00147A6C">
      <w:pPr>
        <w:pStyle w:val="ListParagraph"/>
        <w:numPr>
          <w:ilvl w:val="1"/>
          <w:numId w:val="90"/>
        </w:numPr>
      </w:pPr>
      <w:r>
        <w:t>Science, graduate and undergraduate levels (National Science Teachers Association)</w:t>
      </w:r>
    </w:p>
    <w:p w:rsidR="00352668" w:rsidRPr="009F15B6" w:rsidRDefault="006B3FF3" w:rsidP="00352668">
      <w:pPr>
        <w:pStyle w:val="ListParagraph"/>
        <w:numPr>
          <w:ilvl w:val="0"/>
          <w:numId w:val="90"/>
        </w:numPr>
      </w:pPr>
      <w:hyperlink r:id="rId44" w:history="1">
        <w:r w:rsidR="00352668" w:rsidRPr="00CA79BB">
          <w:rPr>
            <w:rStyle w:val="Hyperlink"/>
            <w:color w:val="auto"/>
            <w:u w:val="none"/>
          </w:rPr>
          <w:t>Athletic Training Program, Commission on Accreditation of Athletic Training Education</w:t>
        </w:r>
      </w:hyperlink>
      <w:r w:rsidR="00352668" w:rsidRPr="009F15B6">
        <w:rPr>
          <w:rStyle w:val="apple-converted-space"/>
        </w:rPr>
        <w:t> </w:t>
      </w:r>
      <w:r w:rsidR="00352668" w:rsidRPr="009F15B6">
        <w:t>  </w:t>
      </w:r>
    </w:p>
    <w:p w:rsidR="00352668" w:rsidRPr="009F15B6" w:rsidRDefault="006B3FF3" w:rsidP="00352668">
      <w:pPr>
        <w:pStyle w:val="ListParagraph"/>
        <w:numPr>
          <w:ilvl w:val="0"/>
          <w:numId w:val="90"/>
        </w:numPr>
      </w:pPr>
      <w:hyperlink r:id="rId45" w:anchor=".UClfCL-aI74" w:history="1">
        <w:r w:rsidR="00352668" w:rsidRPr="00CA79BB">
          <w:rPr>
            <w:rStyle w:val="Hyperlink"/>
            <w:color w:val="auto"/>
            <w:u w:val="none"/>
          </w:rPr>
          <w:t>Dietetics Program, Accreditation Council for Education in Nutrition and Dietetics (ACEND)</w:t>
        </w:r>
      </w:hyperlink>
    </w:p>
    <w:p w:rsidR="00E45060" w:rsidRPr="00CA79BB" w:rsidRDefault="006B3FF3" w:rsidP="00F5054C">
      <w:pPr>
        <w:pStyle w:val="ListParagraph"/>
        <w:numPr>
          <w:ilvl w:val="0"/>
          <w:numId w:val="90"/>
        </w:numPr>
      </w:pPr>
      <w:hyperlink r:id="rId46" w:history="1">
        <w:r w:rsidR="00E45060" w:rsidRPr="00CA79BB">
          <w:rPr>
            <w:rStyle w:val="Hyperlink"/>
            <w:color w:val="auto"/>
            <w:u w:val="none"/>
          </w:rPr>
          <w:t>Early Childhood Education </w:t>
        </w:r>
      </w:hyperlink>
      <w:r w:rsidR="00E41B0F">
        <w:rPr>
          <w:rStyle w:val="Hyperlink"/>
          <w:color w:val="auto"/>
          <w:u w:val="none"/>
        </w:rPr>
        <w:t>(</w:t>
      </w:r>
      <w:r w:rsidR="00DF02D9">
        <w:rPr>
          <w:rStyle w:val="Hyperlink"/>
          <w:color w:val="auto"/>
          <w:u w:val="none"/>
        </w:rPr>
        <w:t>National Association for the Education of Young Children)</w:t>
      </w:r>
    </w:p>
    <w:p w:rsidR="00E45060" w:rsidRDefault="00E45060" w:rsidP="00F5054C">
      <w:pPr>
        <w:pStyle w:val="ListParagraph"/>
        <w:numPr>
          <w:ilvl w:val="0"/>
          <w:numId w:val="90"/>
        </w:numPr>
      </w:pPr>
      <w:r w:rsidRPr="00CA79BB">
        <w:t>Educational L</w:t>
      </w:r>
      <w:r w:rsidR="00BF7B6F">
        <w:t>eadership (principal; superintendent--dormant until 2014</w:t>
      </w:r>
      <w:r w:rsidRPr="00CA79BB">
        <w:t>)</w:t>
      </w:r>
      <w:r w:rsidR="00190675">
        <w:t xml:space="preserve"> and Educational Leadership Constituencies (ELCC)</w:t>
      </w:r>
    </w:p>
    <w:p w:rsidR="00DF02D9" w:rsidRPr="00CA79BB" w:rsidRDefault="006B3FF3" w:rsidP="00DF02D9">
      <w:pPr>
        <w:pStyle w:val="ListParagraph"/>
        <w:numPr>
          <w:ilvl w:val="0"/>
          <w:numId w:val="90"/>
        </w:numPr>
      </w:pPr>
      <w:hyperlink r:id="rId47" w:history="1">
        <w:r w:rsidR="00DF02D9" w:rsidRPr="00CA79BB">
          <w:rPr>
            <w:rStyle w:val="Hyperlink"/>
            <w:color w:val="auto"/>
            <w:u w:val="none"/>
          </w:rPr>
          <w:t>Intervention Specialist Education</w:t>
        </w:r>
      </w:hyperlink>
      <w:r w:rsidR="00DF02D9">
        <w:rPr>
          <w:rStyle w:val="Hyperlink"/>
          <w:color w:val="auto"/>
          <w:u w:val="none"/>
        </w:rPr>
        <w:t>- alternative mild-moderate; mild-moderate graduate level; mild-moderate undergraduate level</w:t>
      </w:r>
      <w:r w:rsidR="00DF02D9" w:rsidRPr="00CA79BB">
        <w:t> </w:t>
      </w:r>
      <w:r w:rsidR="00DF02D9">
        <w:t>(CEC)</w:t>
      </w:r>
    </w:p>
    <w:p w:rsidR="00352668" w:rsidRDefault="00352668" w:rsidP="00F5054C">
      <w:pPr>
        <w:pStyle w:val="ListParagraph"/>
        <w:numPr>
          <w:ilvl w:val="0"/>
          <w:numId w:val="90"/>
        </w:numPr>
      </w:pPr>
      <w:r>
        <w:t>Miami University Educator Preparation Program (EPPs) (National Council for Accreditation of Teacher Education or NCATE)</w:t>
      </w:r>
    </w:p>
    <w:p w:rsidR="000A684C" w:rsidRPr="00CA79BB" w:rsidRDefault="000A684C" w:rsidP="00F5054C">
      <w:pPr>
        <w:pStyle w:val="ListParagraph"/>
        <w:numPr>
          <w:ilvl w:val="0"/>
          <w:numId w:val="90"/>
        </w:numPr>
      </w:pPr>
      <w:r>
        <w:t>Middle Childhood Education (Association of Middle Level Education)</w:t>
      </w:r>
    </w:p>
    <w:p w:rsidR="00BF7B6F" w:rsidRPr="00CA79BB" w:rsidRDefault="00BF7B6F" w:rsidP="00F5054C">
      <w:pPr>
        <w:pStyle w:val="ListParagraph"/>
        <w:numPr>
          <w:ilvl w:val="0"/>
          <w:numId w:val="90"/>
        </w:numPr>
      </w:pPr>
      <w:r>
        <w:rPr>
          <w:rStyle w:val="Hyperlink"/>
          <w:color w:val="auto"/>
          <w:u w:val="none"/>
        </w:rPr>
        <w:t>Nutrition (Commission on Accreditation for Dietetics Education)</w:t>
      </w:r>
    </w:p>
    <w:p w:rsidR="00E45060" w:rsidRPr="00CA79BB" w:rsidRDefault="00E45060" w:rsidP="00F5054C">
      <w:pPr>
        <w:pStyle w:val="ListParagraph"/>
        <w:numPr>
          <w:ilvl w:val="0"/>
          <w:numId w:val="90"/>
        </w:numPr>
      </w:pPr>
      <w:r w:rsidRPr="00CA79BB">
        <w:t>Physical Education</w:t>
      </w:r>
      <w:r w:rsidR="00BF7B6F">
        <w:t xml:space="preserve"> (National Association for Sport &amp; Physical Education)</w:t>
      </w:r>
    </w:p>
    <w:p w:rsidR="00E45060" w:rsidRPr="00CA79BB" w:rsidRDefault="006B3FF3" w:rsidP="00F5054C">
      <w:pPr>
        <w:pStyle w:val="ListParagraph"/>
        <w:numPr>
          <w:ilvl w:val="0"/>
          <w:numId w:val="90"/>
        </w:numPr>
      </w:pPr>
      <w:hyperlink r:id="rId48" w:history="1">
        <w:r w:rsidR="00E45060" w:rsidRPr="00CA79BB">
          <w:rPr>
            <w:rStyle w:val="Hyperlink"/>
            <w:color w:val="auto"/>
            <w:u w:val="none"/>
          </w:rPr>
          <w:t>School Psychology</w:t>
        </w:r>
      </w:hyperlink>
      <w:r w:rsidR="00E41B0F">
        <w:rPr>
          <w:rStyle w:val="Hyperlink"/>
          <w:color w:val="auto"/>
          <w:u w:val="none"/>
        </w:rPr>
        <w:t xml:space="preserve"> (National Association of School Psychology)</w:t>
      </w:r>
    </w:p>
    <w:p w:rsidR="00352668" w:rsidRDefault="006B3FF3" w:rsidP="00352668">
      <w:pPr>
        <w:pStyle w:val="ListParagraph"/>
        <w:numPr>
          <w:ilvl w:val="0"/>
          <w:numId w:val="90"/>
        </w:numPr>
        <w:rPr>
          <w:rStyle w:val="Hyperlink"/>
          <w:color w:val="auto"/>
          <w:u w:val="none"/>
        </w:rPr>
      </w:pPr>
      <w:hyperlink r:id="rId49" w:history="1">
        <w:r w:rsidR="00352668" w:rsidRPr="00CA79BB">
          <w:rPr>
            <w:rStyle w:val="Hyperlink"/>
            <w:color w:val="auto"/>
            <w:u w:val="none"/>
          </w:rPr>
          <w:t>Social Work Program, Council on Social Work Education</w:t>
        </w:r>
      </w:hyperlink>
    </w:p>
    <w:p w:rsidR="004C3EC7" w:rsidRDefault="004C3EC7" w:rsidP="00352668">
      <w:pPr>
        <w:pStyle w:val="ListParagraph"/>
        <w:numPr>
          <w:ilvl w:val="0"/>
          <w:numId w:val="90"/>
        </w:numPr>
        <w:rPr>
          <w:rStyle w:val="Hyperlink"/>
          <w:color w:val="auto"/>
          <w:u w:val="none"/>
        </w:rPr>
      </w:pPr>
      <w:r>
        <w:rPr>
          <w:rStyle w:val="Hyperlink"/>
          <w:color w:val="auto"/>
          <w:u w:val="none"/>
        </w:rPr>
        <w:t>Special Education-mild-moderate online hybrid (Council for Exceptional Children or CEC)</w:t>
      </w:r>
    </w:p>
    <w:p w:rsidR="00DF02D9" w:rsidRDefault="00DF02D9" w:rsidP="00352668">
      <w:pPr>
        <w:pStyle w:val="ListParagraph"/>
        <w:numPr>
          <w:ilvl w:val="0"/>
          <w:numId w:val="90"/>
        </w:numPr>
        <w:rPr>
          <w:rStyle w:val="Hyperlink"/>
          <w:color w:val="auto"/>
          <w:u w:val="none"/>
        </w:rPr>
      </w:pPr>
      <w:r>
        <w:rPr>
          <w:rStyle w:val="Hyperlink"/>
          <w:color w:val="auto"/>
          <w:u w:val="none"/>
        </w:rPr>
        <w:t>World Languages (American Council on the Teaching of Foreign Languages)</w:t>
      </w:r>
    </w:p>
    <w:p w:rsidR="00DF02D9" w:rsidRDefault="00DF02D9" w:rsidP="00DF02D9">
      <w:pPr>
        <w:pStyle w:val="ListParagraph"/>
        <w:numPr>
          <w:ilvl w:val="1"/>
          <w:numId w:val="90"/>
        </w:numPr>
        <w:rPr>
          <w:rStyle w:val="Hyperlink"/>
          <w:color w:val="auto"/>
          <w:u w:val="none"/>
        </w:rPr>
      </w:pPr>
      <w:r>
        <w:rPr>
          <w:rStyle w:val="Hyperlink"/>
          <w:color w:val="auto"/>
          <w:u w:val="none"/>
        </w:rPr>
        <w:t>Chinese</w:t>
      </w:r>
    </w:p>
    <w:p w:rsidR="00DF02D9" w:rsidRDefault="00DF02D9" w:rsidP="00DF02D9">
      <w:pPr>
        <w:pStyle w:val="ListParagraph"/>
        <w:numPr>
          <w:ilvl w:val="1"/>
          <w:numId w:val="90"/>
        </w:numPr>
        <w:rPr>
          <w:rStyle w:val="Hyperlink"/>
          <w:color w:val="auto"/>
          <w:u w:val="none"/>
        </w:rPr>
      </w:pPr>
      <w:r>
        <w:rPr>
          <w:rStyle w:val="Hyperlink"/>
          <w:color w:val="auto"/>
          <w:u w:val="none"/>
        </w:rPr>
        <w:t>French</w:t>
      </w:r>
    </w:p>
    <w:p w:rsidR="00911E98" w:rsidRPr="00911E98" w:rsidRDefault="00DF02D9" w:rsidP="008308A8">
      <w:pPr>
        <w:pStyle w:val="ListParagraph"/>
        <w:numPr>
          <w:ilvl w:val="1"/>
          <w:numId w:val="90"/>
        </w:numPr>
      </w:pPr>
      <w:r>
        <w:rPr>
          <w:rStyle w:val="Hyperlink"/>
          <w:color w:val="auto"/>
          <w:u w:val="none"/>
        </w:rPr>
        <w:t>Spanish</w:t>
      </w:r>
    </w:p>
    <w:p w:rsidR="009F15B6" w:rsidRDefault="009F15B6" w:rsidP="009F15B6">
      <w:pPr>
        <w:rPr>
          <w:rStyle w:val="Heading4Char"/>
        </w:rPr>
      </w:pPr>
      <w:r>
        <w:rPr>
          <w:rStyle w:val="Heading4Char"/>
        </w:rPr>
        <w:t>College of Engineering &amp; Computing</w:t>
      </w:r>
    </w:p>
    <w:p w:rsidR="004C1291" w:rsidRPr="004C1291" w:rsidRDefault="004C1291" w:rsidP="004C1291">
      <w:pPr>
        <w:rPr>
          <w:rStyle w:val="Heading4Char"/>
          <w:b w:val="0"/>
          <w:bCs w:val="0"/>
          <w:spacing w:val="0"/>
          <w:sz w:val="22"/>
          <w:szCs w:val="22"/>
        </w:rPr>
      </w:pPr>
      <w:r w:rsidRPr="004C1291">
        <w:rPr>
          <w:rStyle w:val="Heading4Char"/>
          <w:b w:val="0"/>
          <w:bCs w:val="0"/>
          <w:spacing w:val="0"/>
          <w:sz w:val="22"/>
          <w:szCs w:val="22"/>
        </w:rPr>
        <w:t>The following degree programs are accredited by the Engineering Accreditation Commission of ABET:</w:t>
      </w:r>
    </w:p>
    <w:p w:rsidR="004C1291" w:rsidRPr="00CA79BB" w:rsidRDefault="00FF4EF5" w:rsidP="00F5054C">
      <w:pPr>
        <w:pStyle w:val="ListParagraph"/>
        <w:numPr>
          <w:ilvl w:val="0"/>
          <w:numId w:val="92"/>
        </w:numPr>
        <w:rPr>
          <w:rStyle w:val="Heading4Char"/>
          <w:b w:val="0"/>
          <w:bCs w:val="0"/>
          <w:spacing w:val="0"/>
          <w:sz w:val="22"/>
          <w:szCs w:val="22"/>
        </w:rPr>
      </w:pPr>
      <w:r w:rsidRPr="00CA79BB">
        <w:rPr>
          <w:rStyle w:val="Heading4Char"/>
          <w:b w:val="0"/>
          <w:bCs w:val="0"/>
          <w:spacing w:val="0"/>
          <w:sz w:val="22"/>
          <w:szCs w:val="22"/>
        </w:rPr>
        <w:lastRenderedPageBreak/>
        <w:t>Chemical Engineering</w:t>
      </w:r>
    </w:p>
    <w:p w:rsidR="004C1291" w:rsidRPr="00CA79BB" w:rsidRDefault="00FF4EF5" w:rsidP="00F5054C">
      <w:pPr>
        <w:pStyle w:val="ListParagraph"/>
        <w:numPr>
          <w:ilvl w:val="0"/>
          <w:numId w:val="92"/>
        </w:numPr>
        <w:rPr>
          <w:rStyle w:val="Heading4Char"/>
          <w:b w:val="0"/>
          <w:bCs w:val="0"/>
          <w:spacing w:val="0"/>
          <w:sz w:val="22"/>
          <w:szCs w:val="22"/>
        </w:rPr>
      </w:pPr>
      <w:r w:rsidRPr="00CA79BB">
        <w:rPr>
          <w:rStyle w:val="Heading4Char"/>
          <w:b w:val="0"/>
          <w:bCs w:val="0"/>
          <w:spacing w:val="0"/>
          <w:sz w:val="22"/>
          <w:szCs w:val="22"/>
        </w:rPr>
        <w:t>Computer Engineering</w:t>
      </w:r>
    </w:p>
    <w:p w:rsidR="004C1291" w:rsidRPr="00CA79BB" w:rsidRDefault="004C1291" w:rsidP="00F5054C">
      <w:pPr>
        <w:pStyle w:val="ListParagraph"/>
        <w:numPr>
          <w:ilvl w:val="0"/>
          <w:numId w:val="92"/>
        </w:numPr>
        <w:rPr>
          <w:rStyle w:val="Heading4Char"/>
          <w:b w:val="0"/>
          <w:bCs w:val="0"/>
          <w:spacing w:val="0"/>
          <w:sz w:val="22"/>
          <w:szCs w:val="22"/>
        </w:rPr>
      </w:pPr>
      <w:r w:rsidRPr="00CA79BB">
        <w:rPr>
          <w:rStyle w:val="Heading4Char"/>
          <w:b w:val="0"/>
          <w:bCs w:val="0"/>
          <w:spacing w:val="0"/>
          <w:sz w:val="22"/>
          <w:szCs w:val="22"/>
        </w:rPr>
        <w:t>Electrical Engineering</w:t>
      </w:r>
    </w:p>
    <w:p w:rsidR="004C1291" w:rsidRPr="00CA79BB" w:rsidRDefault="004C1291" w:rsidP="00F5054C">
      <w:pPr>
        <w:pStyle w:val="ListParagraph"/>
        <w:numPr>
          <w:ilvl w:val="0"/>
          <w:numId w:val="92"/>
        </w:numPr>
        <w:rPr>
          <w:rStyle w:val="Heading4Char"/>
          <w:b w:val="0"/>
          <w:bCs w:val="0"/>
          <w:spacing w:val="0"/>
          <w:sz w:val="22"/>
          <w:szCs w:val="22"/>
        </w:rPr>
      </w:pPr>
      <w:r w:rsidRPr="00CA79BB">
        <w:rPr>
          <w:rStyle w:val="Heading4Char"/>
          <w:b w:val="0"/>
          <w:bCs w:val="0"/>
          <w:spacing w:val="0"/>
          <w:sz w:val="22"/>
          <w:szCs w:val="22"/>
        </w:rPr>
        <w:t>Manufacturing Engineering</w:t>
      </w:r>
    </w:p>
    <w:p w:rsidR="004C1291" w:rsidRPr="00CA79BB" w:rsidRDefault="004C1291" w:rsidP="00F5054C">
      <w:pPr>
        <w:pStyle w:val="ListParagraph"/>
        <w:numPr>
          <w:ilvl w:val="0"/>
          <w:numId w:val="92"/>
        </w:numPr>
        <w:rPr>
          <w:rStyle w:val="Heading4Char"/>
          <w:b w:val="0"/>
          <w:bCs w:val="0"/>
          <w:spacing w:val="0"/>
          <w:sz w:val="22"/>
          <w:szCs w:val="22"/>
        </w:rPr>
      </w:pPr>
      <w:r w:rsidRPr="00CA79BB">
        <w:rPr>
          <w:rStyle w:val="Heading4Char"/>
          <w:b w:val="0"/>
          <w:bCs w:val="0"/>
          <w:spacing w:val="0"/>
          <w:sz w:val="22"/>
          <w:szCs w:val="22"/>
        </w:rPr>
        <w:t>Mechanical Engineering</w:t>
      </w:r>
    </w:p>
    <w:p w:rsidR="00AB02BB" w:rsidRDefault="00AB02BB" w:rsidP="00AB02BB">
      <w:pPr>
        <w:pStyle w:val="ListParagraph"/>
        <w:numPr>
          <w:ilvl w:val="0"/>
          <w:numId w:val="92"/>
        </w:numPr>
        <w:rPr>
          <w:rStyle w:val="Heading4Char"/>
          <w:b w:val="0"/>
          <w:bCs w:val="0"/>
          <w:spacing w:val="0"/>
          <w:sz w:val="22"/>
          <w:szCs w:val="22"/>
        </w:rPr>
      </w:pPr>
      <w:r w:rsidRPr="00CA79BB">
        <w:rPr>
          <w:rStyle w:val="Heading4Char"/>
          <w:b w:val="0"/>
          <w:bCs w:val="0"/>
          <w:spacing w:val="0"/>
          <w:sz w:val="22"/>
          <w:szCs w:val="22"/>
        </w:rPr>
        <w:t>Paper Science and Engineering</w:t>
      </w:r>
    </w:p>
    <w:p w:rsidR="00AB02BB" w:rsidRPr="00AB02BB" w:rsidRDefault="00AB02BB" w:rsidP="00AB02BB">
      <w:pPr>
        <w:rPr>
          <w:rStyle w:val="Heading4Char"/>
          <w:b w:val="0"/>
          <w:bCs w:val="0"/>
          <w:spacing w:val="0"/>
          <w:sz w:val="22"/>
          <w:szCs w:val="22"/>
        </w:rPr>
      </w:pPr>
      <w:r>
        <w:rPr>
          <w:rStyle w:val="Heading4Char"/>
          <w:b w:val="0"/>
          <w:bCs w:val="0"/>
          <w:spacing w:val="0"/>
          <w:sz w:val="22"/>
          <w:szCs w:val="22"/>
        </w:rPr>
        <w:t>The following degree program is accredited by the Computing Accreditation Commission of ABET:</w:t>
      </w:r>
    </w:p>
    <w:p w:rsidR="00AB02BB" w:rsidRPr="00CA79BB" w:rsidRDefault="00AB02BB" w:rsidP="00AB02BB">
      <w:pPr>
        <w:pStyle w:val="ListParagraph"/>
        <w:numPr>
          <w:ilvl w:val="0"/>
          <w:numId w:val="92"/>
        </w:numPr>
        <w:rPr>
          <w:rStyle w:val="Heading4Char"/>
          <w:b w:val="0"/>
          <w:bCs w:val="0"/>
          <w:spacing w:val="0"/>
          <w:sz w:val="22"/>
          <w:szCs w:val="22"/>
        </w:rPr>
      </w:pPr>
      <w:r w:rsidRPr="00CA79BB">
        <w:rPr>
          <w:rStyle w:val="Heading4Char"/>
          <w:b w:val="0"/>
          <w:bCs w:val="0"/>
          <w:spacing w:val="0"/>
          <w:sz w:val="22"/>
          <w:szCs w:val="22"/>
        </w:rPr>
        <w:t>Computer Science</w:t>
      </w:r>
    </w:p>
    <w:p w:rsidR="009F15B6" w:rsidRDefault="009F15B6" w:rsidP="009F15B6">
      <w:pPr>
        <w:rPr>
          <w:rStyle w:val="Heading4Char"/>
        </w:rPr>
      </w:pPr>
      <w:r>
        <w:rPr>
          <w:rStyle w:val="Heading4Char"/>
        </w:rPr>
        <w:t>College of Professional Studies &amp; Applied Sciences</w:t>
      </w:r>
    </w:p>
    <w:p w:rsidR="000B6466" w:rsidRPr="000B6466" w:rsidRDefault="000B6466" w:rsidP="000B6466">
      <w:pPr>
        <w:pStyle w:val="NoSpacing"/>
        <w:rPr>
          <w:rStyle w:val="Heading4Char"/>
          <w:b w:val="0"/>
          <w:bCs w:val="0"/>
          <w:spacing w:val="0"/>
          <w:sz w:val="22"/>
          <w:szCs w:val="22"/>
        </w:rPr>
      </w:pPr>
      <w:r w:rsidRPr="000B6466">
        <w:rPr>
          <w:rStyle w:val="Heading4Char"/>
          <w:b w:val="0"/>
          <w:bCs w:val="0"/>
          <w:spacing w:val="0"/>
          <w:sz w:val="22"/>
          <w:szCs w:val="22"/>
        </w:rPr>
        <w:t>The following programs are accredited by the Engineering Technology Accreditation Commission of ABET:</w:t>
      </w:r>
    </w:p>
    <w:p w:rsidR="00ED6D81" w:rsidRPr="00CA79BB" w:rsidRDefault="00ED6D81" w:rsidP="00F5054C">
      <w:pPr>
        <w:pStyle w:val="ListParagraph"/>
        <w:numPr>
          <w:ilvl w:val="0"/>
          <w:numId w:val="93"/>
        </w:numPr>
        <w:rPr>
          <w:rStyle w:val="Heading4Char"/>
          <w:b w:val="0"/>
          <w:bCs w:val="0"/>
          <w:spacing w:val="0"/>
          <w:sz w:val="22"/>
          <w:szCs w:val="22"/>
        </w:rPr>
      </w:pPr>
      <w:r w:rsidRPr="00CA79BB">
        <w:rPr>
          <w:rStyle w:val="Heading4Char"/>
          <w:b w:val="0"/>
          <w:bCs w:val="0"/>
          <w:spacing w:val="0"/>
          <w:sz w:val="22"/>
          <w:szCs w:val="22"/>
        </w:rPr>
        <w:t>Mechanical Engineering Technology, A</w:t>
      </w:r>
      <w:r w:rsidR="000B6466" w:rsidRPr="00CA79BB">
        <w:rPr>
          <w:rStyle w:val="Heading4Char"/>
          <w:b w:val="0"/>
          <w:bCs w:val="0"/>
          <w:spacing w:val="0"/>
          <w:sz w:val="22"/>
          <w:szCs w:val="22"/>
        </w:rPr>
        <w:t>ssociate Degree</w:t>
      </w:r>
    </w:p>
    <w:p w:rsidR="00ED6D81" w:rsidRPr="00CA79BB" w:rsidRDefault="00ED6D81" w:rsidP="00F5054C">
      <w:pPr>
        <w:pStyle w:val="ListParagraph"/>
        <w:numPr>
          <w:ilvl w:val="0"/>
          <w:numId w:val="93"/>
        </w:numPr>
        <w:rPr>
          <w:rStyle w:val="Heading4Char"/>
          <w:b w:val="0"/>
          <w:bCs w:val="0"/>
          <w:spacing w:val="0"/>
          <w:sz w:val="22"/>
          <w:szCs w:val="22"/>
        </w:rPr>
      </w:pPr>
      <w:r w:rsidRPr="00CA79BB">
        <w:rPr>
          <w:rStyle w:val="Heading4Char"/>
          <w:b w:val="0"/>
          <w:bCs w:val="0"/>
          <w:spacing w:val="0"/>
          <w:sz w:val="22"/>
          <w:szCs w:val="22"/>
        </w:rPr>
        <w:t>Electrical and Computer Engineering Technology, Associate</w:t>
      </w:r>
      <w:r w:rsidR="000B6466" w:rsidRPr="00CA79BB">
        <w:rPr>
          <w:rStyle w:val="Heading4Char"/>
          <w:b w:val="0"/>
          <w:bCs w:val="0"/>
          <w:spacing w:val="0"/>
          <w:sz w:val="22"/>
          <w:szCs w:val="22"/>
        </w:rPr>
        <w:t xml:space="preserve"> Degree</w:t>
      </w:r>
    </w:p>
    <w:p w:rsidR="00ED6D81" w:rsidRPr="00CA79BB" w:rsidRDefault="00ED6D81" w:rsidP="00F5054C">
      <w:pPr>
        <w:pStyle w:val="ListParagraph"/>
        <w:numPr>
          <w:ilvl w:val="0"/>
          <w:numId w:val="93"/>
        </w:numPr>
        <w:rPr>
          <w:rStyle w:val="Heading4Char"/>
          <w:b w:val="0"/>
          <w:bCs w:val="0"/>
          <w:spacing w:val="0"/>
          <w:sz w:val="22"/>
          <w:szCs w:val="22"/>
        </w:rPr>
      </w:pPr>
      <w:r w:rsidRPr="00CA79BB">
        <w:rPr>
          <w:rStyle w:val="Heading4Char"/>
          <w:b w:val="0"/>
          <w:bCs w:val="0"/>
          <w:spacing w:val="0"/>
          <w:sz w:val="22"/>
          <w:szCs w:val="22"/>
        </w:rPr>
        <w:t>Electro-Mechanical Engineering Technology (Technology Concentration) Bachelor</w:t>
      </w:r>
      <w:r w:rsidR="000B6466" w:rsidRPr="00CA79BB">
        <w:rPr>
          <w:rStyle w:val="Heading4Char"/>
          <w:b w:val="0"/>
          <w:bCs w:val="0"/>
          <w:spacing w:val="0"/>
          <w:sz w:val="22"/>
          <w:szCs w:val="22"/>
        </w:rPr>
        <w:t xml:space="preserve"> Degree</w:t>
      </w:r>
    </w:p>
    <w:p w:rsidR="000B6466" w:rsidRPr="00CA79BB" w:rsidRDefault="000B6466" w:rsidP="00F5054C">
      <w:pPr>
        <w:pStyle w:val="ListParagraph"/>
        <w:numPr>
          <w:ilvl w:val="0"/>
          <w:numId w:val="93"/>
        </w:numPr>
        <w:rPr>
          <w:rStyle w:val="Heading4Char"/>
          <w:b w:val="0"/>
          <w:bCs w:val="0"/>
          <w:spacing w:val="0"/>
          <w:sz w:val="22"/>
          <w:szCs w:val="22"/>
        </w:rPr>
      </w:pPr>
      <w:r w:rsidRPr="00CA79BB">
        <w:rPr>
          <w:rStyle w:val="Heading4Char"/>
          <w:b w:val="0"/>
          <w:bCs w:val="0"/>
          <w:spacing w:val="0"/>
          <w:sz w:val="22"/>
          <w:szCs w:val="22"/>
        </w:rPr>
        <w:t>Electro-Mechanical Engineering Technology (Mechanical Engineering Technology Concentration, Bachelor Degree</w:t>
      </w:r>
    </w:p>
    <w:p w:rsidR="000B6466" w:rsidRDefault="00D36F05" w:rsidP="00D36F05">
      <w:pPr>
        <w:rPr>
          <w:rStyle w:val="Heading4Char"/>
          <w:b w:val="0"/>
          <w:bCs w:val="0"/>
          <w:spacing w:val="0"/>
          <w:sz w:val="22"/>
          <w:szCs w:val="22"/>
        </w:rPr>
      </w:pPr>
      <w:r>
        <w:rPr>
          <w:rStyle w:val="Heading4Char"/>
          <w:b w:val="0"/>
          <w:bCs w:val="0"/>
          <w:spacing w:val="0"/>
          <w:sz w:val="22"/>
          <w:szCs w:val="22"/>
        </w:rPr>
        <w:t xml:space="preserve">The following </w:t>
      </w:r>
      <w:r w:rsidR="007B4284">
        <w:rPr>
          <w:rStyle w:val="Heading4Char"/>
          <w:b w:val="0"/>
          <w:bCs w:val="0"/>
          <w:spacing w:val="0"/>
          <w:sz w:val="22"/>
          <w:szCs w:val="22"/>
        </w:rPr>
        <w:t xml:space="preserve">nursing </w:t>
      </w:r>
      <w:r>
        <w:rPr>
          <w:rStyle w:val="Heading4Char"/>
          <w:b w:val="0"/>
          <w:bCs w:val="0"/>
          <w:spacing w:val="0"/>
          <w:sz w:val="22"/>
          <w:szCs w:val="22"/>
        </w:rPr>
        <w:t xml:space="preserve">bachelor degree </w:t>
      </w:r>
      <w:r w:rsidR="007B4284">
        <w:rPr>
          <w:rStyle w:val="Heading4Char"/>
          <w:b w:val="0"/>
          <w:bCs w:val="0"/>
          <w:spacing w:val="0"/>
          <w:sz w:val="22"/>
          <w:szCs w:val="22"/>
        </w:rPr>
        <w:t>programs have been accredited</w:t>
      </w:r>
      <w:r>
        <w:rPr>
          <w:rStyle w:val="Heading4Char"/>
          <w:b w:val="0"/>
          <w:bCs w:val="0"/>
          <w:spacing w:val="0"/>
          <w:sz w:val="22"/>
          <w:szCs w:val="22"/>
        </w:rPr>
        <w:t>:</w:t>
      </w:r>
    </w:p>
    <w:p w:rsidR="00D36F05" w:rsidRPr="00CA79BB" w:rsidRDefault="00D36F05" w:rsidP="00F5054C">
      <w:pPr>
        <w:pStyle w:val="ListParagraph"/>
        <w:numPr>
          <w:ilvl w:val="0"/>
          <w:numId w:val="94"/>
        </w:numPr>
        <w:rPr>
          <w:rStyle w:val="Heading4Char"/>
          <w:b w:val="0"/>
          <w:bCs w:val="0"/>
          <w:spacing w:val="0"/>
          <w:sz w:val="22"/>
          <w:szCs w:val="22"/>
        </w:rPr>
      </w:pPr>
      <w:r w:rsidRPr="00CA79BB">
        <w:rPr>
          <w:rStyle w:val="Heading4Char"/>
          <w:b w:val="0"/>
          <w:bCs w:val="0"/>
          <w:spacing w:val="0"/>
          <w:sz w:val="22"/>
          <w:szCs w:val="22"/>
        </w:rPr>
        <w:t>RN-BSN Completion, Commission on Collegiate Nursing</w:t>
      </w:r>
      <w:r w:rsidR="00FF4EF5" w:rsidRPr="00CA79BB">
        <w:rPr>
          <w:rStyle w:val="Heading4Char"/>
          <w:b w:val="0"/>
          <w:bCs w:val="0"/>
          <w:spacing w:val="0"/>
          <w:sz w:val="22"/>
          <w:szCs w:val="22"/>
        </w:rPr>
        <w:t xml:space="preserve"> Education</w:t>
      </w:r>
    </w:p>
    <w:p w:rsidR="00D36F05" w:rsidRPr="00CA79BB" w:rsidRDefault="00D36F05" w:rsidP="00F5054C">
      <w:pPr>
        <w:pStyle w:val="ListParagraph"/>
        <w:numPr>
          <w:ilvl w:val="0"/>
          <w:numId w:val="94"/>
        </w:numPr>
        <w:rPr>
          <w:rStyle w:val="Heading4Char"/>
          <w:b w:val="0"/>
          <w:bCs w:val="0"/>
          <w:spacing w:val="0"/>
          <w:sz w:val="22"/>
          <w:szCs w:val="22"/>
        </w:rPr>
      </w:pPr>
      <w:r w:rsidRPr="00CA79BB">
        <w:rPr>
          <w:rStyle w:val="Heading4Char"/>
          <w:b w:val="0"/>
          <w:bCs w:val="0"/>
          <w:spacing w:val="0"/>
          <w:sz w:val="22"/>
          <w:szCs w:val="22"/>
        </w:rPr>
        <w:t>Traditional Pre-Licensure, Commission on Collegiate Nursing,</w:t>
      </w:r>
      <w:r w:rsidR="00FF4EF5" w:rsidRPr="00CA79BB">
        <w:rPr>
          <w:rStyle w:val="Heading4Char"/>
          <w:b w:val="0"/>
          <w:bCs w:val="0"/>
          <w:spacing w:val="0"/>
          <w:sz w:val="22"/>
          <w:szCs w:val="22"/>
        </w:rPr>
        <w:t xml:space="preserve"> Education</w:t>
      </w:r>
      <w:r w:rsidRPr="00CA79BB">
        <w:rPr>
          <w:rStyle w:val="Heading4Char"/>
          <w:b w:val="0"/>
          <w:bCs w:val="0"/>
          <w:spacing w:val="0"/>
          <w:sz w:val="22"/>
          <w:szCs w:val="22"/>
        </w:rPr>
        <w:t xml:space="preserve"> Ohio Board of Nursing</w:t>
      </w:r>
    </w:p>
    <w:p w:rsidR="008D1421" w:rsidRPr="009F15B6" w:rsidRDefault="009F15B6" w:rsidP="009F15B6">
      <w:pPr>
        <w:rPr>
          <w:rFonts w:eastAsia="Times New Roman"/>
        </w:rPr>
      </w:pPr>
      <w:r w:rsidRPr="009F15B6">
        <w:rPr>
          <w:rStyle w:val="Heading4Char"/>
        </w:rPr>
        <w:t>Farmer School of Business</w:t>
      </w:r>
      <w:r w:rsidR="008D1421" w:rsidRPr="009F15B6">
        <w:rPr>
          <w:rStyle w:val="Heading4Char"/>
        </w:rPr>
        <w:br/>
      </w:r>
      <w:r w:rsidR="008D1421" w:rsidRPr="009F15B6">
        <w:rPr>
          <w:rFonts w:eastAsia="Times New Roman"/>
        </w:rPr>
        <w:t>The f</w:t>
      </w:r>
      <w:r>
        <w:rPr>
          <w:rFonts w:eastAsia="Times New Roman"/>
        </w:rPr>
        <w:t xml:space="preserve">ollowing degree programs </w:t>
      </w:r>
      <w:r w:rsidR="008D1421" w:rsidRPr="009F15B6">
        <w:rPr>
          <w:rFonts w:eastAsia="Times New Roman"/>
        </w:rPr>
        <w:t>are accredited by the Association to Advance Collegiate Schools of Business (AACSB):</w:t>
      </w:r>
    </w:p>
    <w:p w:rsidR="008D1421" w:rsidRPr="00CA79BB" w:rsidRDefault="008D1421" w:rsidP="00F5054C">
      <w:pPr>
        <w:pStyle w:val="ListParagraph"/>
        <w:numPr>
          <w:ilvl w:val="0"/>
          <w:numId w:val="95"/>
        </w:numPr>
        <w:rPr>
          <w:rFonts w:eastAsia="Times New Roman"/>
        </w:rPr>
      </w:pPr>
      <w:r w:rsidRPr="00CA79BB">
        <w:rPr>
          <w:rFonts w:eastAsia="Times New Roman"/>
        </w:rPr>
        <w:t>Bachelor of Science in Busi</w:t>
      </w:r>
      <w:r w:rsidR="00AB567B" w:rsidRPr="00CA79BB">
        <w:rPr>
          <w:rFonts w:eastAsia="Times New Roman"/>
        </w:rPr>
        <w:t>ness</w:t>
      </w:r>
    </w:p>
    <w:p w:rsidR="008D1421" w:rsidRPr="00CA79BB" w:rsidRDefault="008D1421" w:rsidP="00F5054C">
      <w:pPr>
        <w:pStyle w:val="ListParagraph"/>
        <w:numPr>
          <w:ilvl w:val="0"/>
          <w:numId w:val="95"/>
        </w:numPr>
        <w:rPr>
          <w:rFonts w:eastAsia="Times New Roman"/>
        </w:rPr>
      </w:pPr>
      <w:r w:rsidRPr="00CA79BB">
        <w:rPr>
          <w:rFonts w:eastAsia="Times New Roman"/>
        </w:rPr>
        <w:t>Masters in Business Administration</w:t>
      </w:r>
    </w:p>
    <w:p w:rsidR="008D1421" w:rsidRPr="00CA79BB" w:rsidRDefault="008D1421" w:rsidP="00F5054C">
      <w:pPr>
        <w:pStyle w:val="ListParagraph"/>
        <w:numPr>
          <w:ilvl w:val="0"/>
          <w:numId w:val="95"/>
        </w:numPr>
        <w:rPr>
          <w:rFonts w:eastAsia="Times New Roman"/>
        </w:rPr>
      </w:pPr>
      <w:r w:rsidRPr="00CA79BB">
        <w:rPr>
          <w:rFonts w:eastAsia="Times New Roman"/>
        </w:rPr>
        <w:t>Masters in Accountancy</w:t>
      </w:r>
      <w:r w:rsidR="00257171" w:rsidRPr="00CA79BB">
        <w:rPr>
          <w:rFonts w:eastAsia="Times New Roman"/>
        </w:rPr>
        <w:t>.</w:t>
      </w:r>
    </w:p>
    <w:p w:rsidR="008D1421" w:rsidRPr="008D1421" w:rsidRDefault="008D1421" w:rsidP="008D1421">
      <w:pPr>
        <w:pStyle w:val="ListParagraph"/>
        <w:shd w:val="clear" w:color="auto" w:fill="FFFFFF"/>
        <w:spacing w:after="0" w:line="240" w:lineRule="auto"/>
        <w:rPr>
          <w:rFonts w:ascii="Arial" w:eastAsia="Times New Roman" w:hAnsi="Arial" w:cs="Arial"/>
          <w:color w:val="000000"/>
          <w:sz w:val="20"/>
          <w:szCs w:val="20"/>
        </w:rPr>
      </w:pPr>
    </w:p>
    <w:p w:rsidR="00721E01" w:rsidRDefault="00257171" w:rsidP="00C42B31">
      <w:r>
        <w:t xml:space="preserve">In addition to complying with all specialized accreditation protocols, Miami </w:t>
      </w:r>
      <w:r w:rsidR="008648D2">
        <w:t>sets</w:t>
      </w:r>
      <w:r>
        <w:t xml:space="preserve"> aggressive </w:t>
      </w:r>
      <w:r w:rsidR="008648D2">
        <w:t>goals related to</w:t>
      </w:r>
      <w:r w:rsidR="005158B1">
        <w:t xml:space="preserve"> the success of its</w:t>
      </w:r>
      <w:r w:rsidR="00900A32">
        <w:t xml:space="preserve"> students and </w:t>
      </w:r>
      <w:r w:rsidR="00C42B31">
        <w:t>graduates</w:t>
      </w:r>
      <w:r w:rsidR="008648D2">
        <w:t xml:space="preserve"> in</w:t>
      </w:r>
      <w:r w:rsidR="00786EF0">
        <w:t xml:space="preserve"> its own internal planning processes.  The </w:t>
      </w:r>
      <w:r w:rsidR="00C42B31">
        <w:t>first three metrics</w:t>
      </w:r>
      <w:r w:rsidR="00786EF0">
        <w:t xml:space="preserve"> of</w:t>
      </w:r>
      <w:r w:rsidR="00C42B31">
        <w:t xml:space="preserve"> Miami 2020 Plan</w:t>
      </w:r>
      <w:r w:rsidR="00786EF0">
        <w:t xml:space="preserve"> read as follows</w:t>
      </w:r>
      <w:r w:rsidR="00C42B31">
        <w:t>:</w:t>
      </w:r>
    </w:p>
    <w:p w:rsidR="00C42B31" w:rsidRDefault="00964A55" w:rsidP="00F5054C">
      <w:pPr>
        <w:pStyle w:val="ListParagraph"/>
        <w:numPr>
          <w:ilvl w:val="0"/>
          <w:numId w:val="50"/>
        </w:numPr>
      </w:pPr>
      <w:r>
        <w:t>Miami will achieve a six-year graduat</w:t>
      </w:r>
      <w:r w:rsidR="00C42B31">
        <w:t>ion rate of 85%</w:t>
      </w:r>
      <w:r w:rsidR="00D35E94">
        <w:t>.</w:t>
      </w:r>
    </w:p>
    <w:p w:rsidR="00C42B31" w:rsidRDefault="00FF4EF5" w:rsidP="00F5054C">
      <w:pPr>
        <w:pStyle w:val="ListParagraph"/>
        <w:numPr>
          <w:ilvl w:val="0"/>
          <w:numId w:val="50"/>
        </w:numPr>
      </w:pPr>
      <w:r>
        <w:t xml:space="preserve">Within one year of graduation, </w:t>
      </w:r>
      <w:r w:rsidR="00BF0118">
        <w:t>10</w:t>
      </w:r>
      <w:r w:rsidR="00964A55">
        <w:t xml:space="preserve">0% of graduates </w:t>
      </w:r>
      <w:r w:rsidR="00BF0118">
        <w:t xml:space="preserve">(excluding those enrolled in graduate or professional school) </w:t>
      </w:r>
      <w:r w:rsidR="00964A55">
        <w:t>wi</w:t>
      </w:r>
      <w:r w:rsidR="00BF0118">
        <w:t>ll be employed</w:t>
      </w:r>
      <w:r w:rsidR="00964A55">
        <w:t>.</w:t>
      </w:r>
    </w:p>
    <w:p w:rsidR="00964A55" w:rsidRDefault="00BF0118" w:rsidP="00F5054C">
      <w:pPr>
        <w:pStyle w:val="ListParagraph"/>
        <w:numPr>
          <w:ilvl w:val="0"/>
          <w:numId w:val="50"/>
        </w:numPr>
      </w:pPr>
      <w:r>
        <w:t>Upon graduation, 80</w:t>
      </w:r>
      <w:r w:rsidR="00964A55">
        <w:t>% of students who apply to graduate or professional school will receive at least one offer of admission.</w:t>
      </w:r>
    </w:p>
    <w:p w:rsidR="00151CC0" w:rsidRPr="003D20C4" w:rsidRDefault="00151CC0" w:rsidP="00151CC0">
      <w:pPr>
        <w:rPr>
          <w:rFonts w:eastAsia="Times New Roman"/>
        </w:rPr>
      </w:pPr>
      <w:r>
        <w:rPr>
          <w:rFonts w:eastAsia="Times New Roman"/>
        </w:rPr>
        <w:t xml:space="preserve">A study conducted by Miami’s Offices of Career Services and Institutional Research revealed that more </w:t>
      </w:r>
      <w:r w:rsidRPr="003D20C4">
        <w:rPr>
          <w:rFonts w:eastAsia="Times New Roman"/>
        </w:rPr>
        <w:t xml:space="preserve"> than 91 percent of Miami University students who</w:t>
      </w:r>
      <w:r w:rsidR="005158B1">
        <w:rPr>
          <w:rFonts w:eastAsia="Times New Roman"/>
        </w:rPr>
        <w:t xml:space="preserve"> graduated August 2012-May 2013</w:t>
      </w:r>
      <w:r w:rsidRPr="003D20C4">
        <w:rPr>
          <w:rFonts w:eastAsia="Times New Roman"/>
        </w:rPr>
        <w:t xml:space="preserve"> were employed or in graduate school by fall 2013.</w:t>
      </w:r>
      <w:r>
        <w:rPr>
          <w:rFonts w:eastAsia="Times New Roman"/>
        </w:rPr>
        <w:t xml:space="preserve"> </w:t>
      </w:r>
      <w:r w:rsidRPr="003D20C4">
        <w:rPr>
          <w:rFonts w:eastAsia="Times New Roman"/>
        </w:rPr>
        <w:t>Miami was able to obtain 100 percent of alumni educational placement data and 56 percent of alumni career placement data through various sources, including calling more than 2,000 Oxford bachelor's degree-receiving graduates in order to achieve a collective picture of new alumni success.</w:t>
      </w:r>
    </w:p>
    <w:p w:rsidR="00151CC0" w:rsidRDefault="00151CC0" w:rsidP="00151CC0">
      <w:pPr>
        <w:shd w:val="clear" w:color="auto" w:fill="FFFFFF"/>
        <w:spacing w:after="150" w:line="240" w:lineRule="auto"/>
      </w:pPr>
      <w:r w:rsidRPr="00B10A13">
        <w:lastRenderedPageBreak/>
        <w:t>Significant results from this study include:</w:t>
      </w:r>
    </w:p>
    <w:p w:rsidR="00151CC0" w:rsidRPr="00CA79BB" w:rsidRDefault="00151CC0" w:rsidP="00F5054C">
      <w:pPr>
        <w:pStyle w:val="ListParagraph"/>
        <w:numPr>
          <w:ilvl w:val="0"/>
          <w:numId w:val="96"/>
        </w:numPr>
        <w:rPr>
          <w:rFonts w:ascii="Helvetica" w:eastAsia="Times New Roman" w:hAnsi="Helvetica" w:cs="Helvetica"/>
          <w:color w:val="222222"/>
          <w:sz w:val="18"/>
          <w:szCs w:val="18"/>
        </w:rPr>
      </w:pPr>
      <w:r w:rsidRPr="00B10A13">
        <w:t>75.2 percent of alumni were currently employed or had received a job offer while 3.4 percent were not employed. The remaining 21.4 percent of alumni indicated at graduation that they did not plan to seek immediate employment. By fall, 18.6 percent had enrolled in graduate or professional schools. Some students are working and studyi</w:t>
      </w:r>
      <w:r>
        <w:t>ng, so some numbers overlap.</w:t>
      </w:r>
    </w:p>
    <w:p w:rsidR="00151CC0" w:rsidRPr="00CA79BB" w:rsidRDefault="00151CC0" w:rsidP="00F5054C">
      <w:pPr>
        <w:pStyle w:val="ListParagraph"/>
        <w:numPr>
          <w:ilvl w:val="0"/>
          <w:numId w:val="96"/>
        </w:numPr>
        <w:rPr>
          <w:rFonts w:ascii="Helvetica" w:eastAsia="Times New Roman" w:hAnsi="Helvetica" w:cs="Helvetica"/>
          <w:color w:val="222222"/>
          <w:sz w:val="18"/>
          <w:szCs w:val="18"/>
        </w:rPr>
      </w:pPr>
      <w:r w:rsidRPr="00B10A13">
        <w:t>52.1 percent of alumni were working full time in their field of study (69.3 percent of those employed) while 15.4 percent were working full ti</w:t>
      </w:r>
      <w:r w:rsidR="007561BA">
        <w:t>me outside their field of study</w:t>
      </w:r>
      <w:r>
        <w:t>.</w:t>
      </w:r>
    </w:p>
    <w:p w:rsidR="00151CC0" w:rsidRPr="00CA79BB" w:rsidRDefault="00151CC0" w:rsidP="00F5054C">
      <w:pPr>
        <w:pStyle w:val="ListParagraph"/>
        <w:numPr>
          <w:ilvl w:val="0"/>
          <w:numId w:val="96"/>
        </w:numPr>
        <w:rPr>
          <w:rFonts w:ascii="Helvetica" w:hAnsi="Helvetica" w:cs="Helvetica"/>
          <w:color w:val="000000"/>
          <w:shd w:val="clear" w:color="auto" w:fill="FFFFFF"/>
        </w:rPr>
      </w:pPr>
      <w:r w:rsidRPr="00B10A13">
        <w:t>19.3 percent of alumni had previously worked for their current employer, most commonly</w:t>
      </w:r>
      <w:r>
        <w:t xml:space="preserve"> as an intern or co-op student.</w:t>
      </w:r>
    </w:p>
    <w:p w:rsidR="004568E4" w:rsidRDefault="004568E4" w:rsidP="00AB567B">
      <w:r>
        <w:t>In addition to this study, Miami gathers data through the following sources:</w:t>
      </w:r>
    </w:p>
    <w:p w:rsidR="00151CC0" w:rsidRPr="00096519" w:rsidRDefault="004568E4" w:rsidP="00F5054C">
      <w:pPr>
        <w:pStyle w:val="ListParagraph"/>
        <w:numPr>
          <w:ilvl w:val="0"/>
          <w:numId w:val="97"/>
        </w:numPr>
      </w:pPr>
      <w:r w:rsidRPr="00096519">
        <w:t>Graduation survey which gathers data about graduates’ plans for employment, additional education, service work, and other activities the year immediately following their graduation</w:t>
      </w:r>
      <w:r w:rsidR="0042234C" w:rsidRPr="00096519">
        <w:t>;</w:t>
      </w:r>
    </w:p>
    <w:p w:rsidR="00096519" w:rsidRPr="00096519" w:rsidRDefault="0042234C" w:rsidP="00F5054C">
      <w:pPr>
        <w:pStyle w:val="ListParagraph"/>
        <w:numPr>
          <w:ilvl w:val="0"/>
          <w:numId w:val="97"/>
        </w:numPr>
      </w:pPr>
      <w:r w:rsidRPr="00096519">
        <w:t>Alumni survey which gathers data from individuals five years after graduation</w:t>
      </w:r>
      <w:r w:rsidR="008648D2">
        <w:t>;</w:t>
      </w:r>
    </w:p>
    <w:p w:rsidR="00096519" w:rsidRPr="00096519" w:rsidRDefault="0042234C" w:rsidP="00F5054C">
      <w:pPr>
        <w:pStyle w:val="ListParagraph"/>
        <w:numPr>
          <w:ilvl w:val="0"/>
          <w:numId w:val="97"/>
        </w:numPr>
      </w:pPr>
      <w:r w:rsidRPr="00096519">
        <w:t>Medical school acceptance rates which</w:t>
      </w:r>
      <w:r w:rsidR="00096519" w:rsidRPr="00096519">
        <w:t>, for 2013, was 63%, compared</w:t>
      </w:r>
      <w:r w:rsidR="008648D2">
        <w:t xml:space="preserve"> to 46% nationally;</w:t>
      </w:r>
    </w:p>
    <w:p w:rsidR="0042234C" w:rsidRPr="00096519" w:rsidRDefault="00096519" w:rsidP="00F5054C">
      <w:pPr>
        <w:pStyle w:val="ListParagraph"/>
        <w:numPr>
          <w:ilvl w:val="0"/>
          <w:numId w:val="97"/>
        </w:numPr>
      </w:pPr>
      <w:r w:rsidRPr="00096519">
        <w:t>Law school acceptance rates which shows that</w:t>
      </w:r>
      <w:r w:rsidR="000F7AB3">
        <w:t xml:space="preserve"> in 2013,</w:t>
      </w:r>
      <w:r w:rsidRPr="00096519">
        <w:t xml:space="preserve"> a</w:t>
      </w:r>
      <w:r w:rsidR="0042234C" w:rsidRPr="00096519">
        <w:t>mong Miami seniors, the</w:t>
      </w:r>
      <w:r w:rsidR="0042234C" w:rsidRPr="00096519">
        <w:rPr>
          <w:rStyle w:val="apple-converted-space"/>
        </w:rPr>
        <w:t> </w:t>
      </w:r>
      <w:r w:rsidR="0042234C" w:rsidRPr="00CA79BB">
        <w:rPr>
          <w:rStyle w:val="Strong"/>
          <w:b w:val="0"/>
          <w:bCs w:val="0"/>
        </w:rPr>
        <w:t>acceptance rate to law school is 95%</w:t>
      </w:r>
      <w:r w:rsidR="0042234C" w:rsidRPr="00096519">
        <w:t>, compared to a national average of 84%.</w:t>
      </w:r>
    </w:p>
    <w:p w:rsidR="00721E01" w:rsidRPr="00A04EFE" w:rsidRDefault="00A04EFE" w:rsidP="00A04EFE">
      <w:r>
        <w:rPr>
          <w:shd w:val="clear" w:color="auto" w:fill="FFFFFF"/>
        </w:rPr>
        <w:t>For the seventh y</w:t>
      </w:r>
      <w:r w:rsidR="0099531D">
        <w:rPr>
          <w:shd w:val="clear" w:color="auto" w:fill="FFFFFF"/>
        </w:rPr>
        <w:t>ear in a row, Miami University w</w:t>
      </w:r>
      <w:r>
        <w:rPr>
          <w:shd w:val="clear" w:color="auto" w:fill="FFFFFF"/>
        </w:rPr>
        <w:t xml:space="preserve">as placed on Peace Corps' annual list of the top volunteer-producing midsized colleges and universities across the country. </w:t>
      </w:r>
      <w:r w:rsidR="000F7AB3" w:rsidRPr="00CB1666">
        <w:t>Forbes ranked Miami 41st among public universities nationwide for return on investment in its </w:t>
      </w:r>
      <w:r w:rsidR="000F7AB3">
        <w:t xml:space="preserve">list of </w:t>
      </w:r>
      <w:r w:rsidR="000F7AB3" w:rsidRPr="00CB1666">
        <w:t xml:space="preserve">America's Top Colleges for 2013. Post-graduate success and student satisfaction combine for 60% of the school's score.  </w:t>
      </w:r>
    </w:p>
    <w:p w:rsidR="00721E01" w:rsidRDefault="00721E01" w:rsidP="003113D3">
      <w:r>
        <w:t>A</w:t>
      </w:r>
      <w:r w:rsidR="003113D3">
        <w:t>lthough Miami is exceptionally strong in relation to this criterion, the institution faces these challenges and opportunities</w:t>
      </w:r>
      <w:r>
        <w:t>:</w:t>
      </w:r>
    </w:p>
    <w:p w:rsidR="00721E01" w:rsidRDefault="003113D3" w:rsidP="00F5054C">
      <w:pPr>
        <w:pStyle w:val="ListParagraph"/>
        <w:numPr>
          <w:ilvl w:val="0"/>
          <w:numId w:val="98"/>
        </w:numPr>
      </w:pPr>
      <w:r>
        <w:t xml:space="preserve">Continuing to find </w:t>
      </w:r>
      <w:r w:rsidR="0099531D">
        <w:t xml:space="preserve">expedient </w:t>
      </w:r>
      <w:r>
        <w:t>ways to obtain</w:t>
      </w:r>
      <w:r w:rsidR="00721E01">
        <w:t xml:space="preserve"> reliable employment data and assessing the impact of graduates on society</w:t>
      </w:r>
      <w:r>
        <w:t>;</w:t>
      </w:r>
    </w:p>
    <w:p w:rsidR="00721E01" w:rsidRDefault="00721E01" w:rsidP="00F5054C">
      <w:pPr>
        <w:pStyle w:val="ListParagraph"/>
        <w:numPr>
          <w:ilvl w:val="0"/>
          <w:numId w:val="98"/>
        </w:numPr>
      </w:pPr>
      <w:r>
        <w:t>Preparing students for advanced degrees given d</w:t>
      </w:r>
      <w:r w:rsidR="003113D3">
        <w:t>eclining support for</w:t>
      </w:r>
      <w:r>
        <w:t xml:space="preserve"> and enrollments in graduate education</w:t>
      </w:r>
      <w:r w:rsidR="003113D3">
        <w:t>;</w:t>
      </w:r>
    </w:p>
    <w:p w:rsidR="0086149A" w:rsidRDefault="00721E01" w:rsidP="00F5054C">
      <w:pPr>
        <w:pStyle w:val="ListParagraph"/>
        <w:numPr>
          <w:ilvl w:val="0"/>
          <w:numId w:val="98"/>
        </w:numPr>
      </w:pPr>
      <w:r>
        <w:t>Expanding our partnerships with two-year institutions and high schools</w:t>
      </w:r>
      <w:r w:rsidR="003113D3">
        <w:t>;</w:t>
      </w:r>
    </w:p>
    <w:p w:rsidR="00964121" w:rsidRPr="0086149A" w:rsidRDefault="00721E01" w:rsidP="00F5054C">
      <w:pPr>
        <w:pStyle w:val="ListParagraph"/>
        <w:numPr>
          <w:ilvl w:val="0"/>
          <w:numId w:val="98"/>
        </w:numPr>
      </w:pPr>
      <w:r w:rsidRPr="0086149A">
        <w:t>Improving our capacity for awarding credit for prior learning</w:t>
      </w:r>
      <w:r w:rsidR="003113D3">
        <w:t>.</w:t>
      </w:r>
    </w:p>
    <w:p w:rsidR="00964121" w:rsidRDefault="00964121" w:rsidP="00964121">
      <w:pPr>
        <w:pStyle w:val="Heading2"/>
      </w:pPr>
      <w:r>
        <w:t>Sources</w:t>
      </w:r>
    </w:p>
    <w:p w:rsidR="00721E01" w:rsidRDefault="00254AF1" w:rsidP="000945E2">
      <w:pPr>
        <w:pStyle w:val="NoSpacing"/>
        <w:numPr>
          <w:ilvl w:val="0"/>
          <w:numId w:val="10"/>
        </w:numPr>
        <w:ind w:left="252" w:hanging="252"/>
        <w:rPr>
          <w:sz w:val="20"/>
          <w:szCs w:val="20"/>
        </w:rPr>
      </w:pPr>
      <w:r>
        <w:rPr>
          <w:sz w:val="20"/>
          <w:szCs w:val="20"/>
        </w:rPr>
        <w:t>Academic Program Review Guidelines, Process</w:t>
      </w:r>
      <w:r w:rsidR="001952A0">
        <w:rPr>
          <w:sz w:val="20"/>
          <w:szCs w:val="20"/>
        </w:rPr>
        <w:t xml:space="preserve"> &amp; Tim</w:t>
      </w:r>
      <w:r w:rsidR="008160AF">
        <w:rPr>
          <w:sz w:val="20"/>
          <w:szCs w:val="20"/>
        </w:rPr>
        <w:t>e</w:t>
      </w:r>
      <w:r w:rsidR="001952A0">
        <w:rPr>
          <w:sz w:val="20"/>
          <w:szCs w:val="20"/>
        </w:rPr>
        <w:t>line</w:t>
      </w:r>
    </w:p>
    <w:p w:rsidR="00D95170" w:rsidRDefault="008C7DD0" w:rsidP="000945E2">
      <w:pPr>
        <w:pStyle w:val="NoSpacing"/>
        <w:numPr>
          <w:ilvl w:val="0"/>
          <w:numId w:val="10"/>
        </w:numPr>
        <w:ind w:left="252" w:hanging="252"/>
        <w:rPr>
          <w:sz w:val="20"/>
          <w:szCs w:val="20"/>
        </w:rPr>
      </w:pPr>
      <w:r>
        <w:rPr>
          <w:sz w:val="20"/>
          <w:szCs w:val="20"/>
        </w:rPr>
        <w:t>Trans</w:t>
      </w:r>
      <w:r w:rsidR="00D95170">
        <w:rPr>
          <w:sz w:val="20"/>
          <w:szCs w:val="20"/>
        </w:rPr>
        <w:t>fer p</w:t>
      </w:r>
      <w:r w:rsidR="00B261E9">
        <w:rPr>
          <w:sz w:val="20"/>
          <w:szCs w:val="20"/>
        </w:rPr>
        <w:t>olicies in Bulletin, pages 16-20</w:t>
      </w:r>
      <w:r>
        <w:rPr>
          <w:sz w:val="20"/>
          <w:szCs w:val="20"/>
        </w:rPr>
        <w:t xml:space="preserve"> for undergraduate and 231 for graduate</w:t>
      </w:r>
    </w:p>
    <w:p w:rsidR="007B77D1" w:rsidRPr="004714DA" w:rsidRDefault="007B77D1" w:rsidP="000945E2">
      <w:pPr>
        <w:pStyle w:val="NoSpacing"/>
        <w:numPr>
          <w:ilvl w:val="0"/>
          <w:numId w:val="10"/>
        </w:numPr>
        <w:ind w:left="252" w:hanging="252"/>
        <w:rPr>
          <w:sz w:val="20"/>
          <w:szCs w:val="20"/>
        </w:rPr>
      </w:pPr>
      <w:r>
        <w:rPr>
          <w:sz w:val="20"/>
          <w:szCs w:val="20"/>
        </w:rPr>
        <w:t>Policies for receiving credit in Bulletin on page 53-55</w:t>
      </w:r>
    </w:p>
    <w:p w:rsidR="00721E01" w:rsidRPr="004714DA" w:rsidRDefault="00721E01" w:rsidP="000945E2">
      <w:pPr>
        <w:pStyle w:val="NoSpacing"/>
        <w:numPr>
          <w:ilvl w:val="0"/>
          <w:numId w:val="10"/>
        </w:numPr>
        <w:ind w:left="252" w:hanging="252"/>
        <w:rPr>
          <w:sz w:val="20"/>
          <w:szCs w:val="20"/>
        </w:rPr>
      </w:pPr>
      <w:r w:rsidRPr="004714DA">
        <w:rPr>
          <w:sz w:val="20"/>
          <w:szCs w:val="20"/>
        </w:rPr>
        <w:t>Voluntary System of Accountability--College Portrait [http://www.collegeportraits.org/OH/MU]</w:t>
      </w:r>
    </w:p>
    <w:p w:rsidR="00493E3B" w:rsidRDefault="00493E3B" w:rsidP="000945E2">
      <w:pPr>
        <w:pStyle w:val="NoSpacing"/>
        <w:numPr>
          <w:ilvl w:val="0"/>
          <w:numId w:val="10"/>
        </w:numPr>
        <w:ind w:left="252" w:hanging="252"/>
        <w:rPr>
          <w:sz w:val="20"/>
          <w:szCs w:val="20"/>
        </w:rPr>
      </w:pPr>
      <w:r>
        <w:rPr>
          <w:sz w:val="20"/>
          <w:szCs w:val="20"/>
        </w:rPr>
        <w:t>List of partnership agreements</w:t>
      </w:r>
      <w:r w:rsidR="001952A0">
        <w:rPr>
          <w:sz w:val="20"/>
          <w:szCs w:val="20"/>
        </w:rPr>
        <w:t xml:space="preserve"> and protocol for developing partnerships (Academic Partnerships website)</w:t>
      </w:r>
    </w:p>
    <w:p w:rsidR="00721E01" w:rsidRPr="004714DA" w:rsidRDefault="00721E01" w:rsidP="000945E2">
      <w:pPr>
        <w:pStyle w:val="NoSpacing"/>
        <w:numPr>
          <w:ilvl w:val="0"/>
          <w:numId w:val="10"/>
        </w:numPr>
        <w:ind w:left="252" w:hanging="252"/>
        <w:rPr>
          <w:sz w:val="20"/>
          <w:szCs w:val="20"/>
        </w:rPr>
      </w:pPr>
      <w:r w:rsidRPr="004714DA">
        <w:rPr>
          <w:sz w:val="20"/>
          <w:szCs w:val="20"/>
        </w:rPr>
        <w:t>Summaries of Graduation, Alumni, Employer survey</w:t>
      </w:r>
    </w:p>
    <w:p w:rsidR="00721E01" w:rsidRDefault="00721E01" w:rsidP="000945E2">
      <w:pPr>
        <w:pStyle w:val="NoSpacing"/>
        <w:numPr>
          <w:ilvl w:val="0"/>
          <w:numId w:val="10"/>
        </w:numPr>
        <w:ind w:left="252" w:hanging="252"/>
        <w:rPr>
          <w:sz w:val="20"/>
          <w:szCs w:val="20"/>
        </w:rPr>
      </w:pPr>
      <w:r w:rsidRPr="004714DA">
        <w:rPr>
          <w:sz w:val="20"/>
          <w:szCs w:val="20"/>
        </w:rPr>
        <w:t>Winners of prestigious fellowships</w:t>
      </w:r>
      <w:r w:rsidR="00493E3B">
        <w:rPr>
          <w:sz w:val="20"/>
          <w:szCs w:val="20"/>
        </w:rPr>
        <w:t xml:space="preserve"> since 2007</w:t>
      </w:r>
    </w:p>
    <w:p w:rsidR="00493E3B" w:rsidRDefault="00493E3B" w:rsidP="000945E2">
      <w:pPr>
        <w:pStyle w:val="NoSpacing"/>
        <w:numPr>
          <w:ilvl w:val="0"/>
          <w:numId w:val="10"/>
        </w:numPr>
        <w:ind w:left="252" w:hanging="252"/>
        <w:rPr>
          <w:sz w:val="20"/>
          <w:szCs w:val="20"/>
        </w:rPr>
      </w:pPr>
      <w:r>
        <w:rPr>
          <w:sz w:val="20"/>
          <w:szCs w:val="20"/>
        </w:rPr>
        <w:t>Small Group Instructional Diagnosis description on CELTUA website</w:t>
      </w:r>
    </w:p>
    <w:p w:rsidR="00493E3B" w:rsidRDefault="00493E3B" w:rsidP="000945E2">
      <w:pPr>
        <w:pStyle w:val="NoSpacing"/>
        <w:numPr>
          <w:ilvl w:val="0"/>
          <w:numId w:val="10"/>
        </w:numPr>
        <w:ind w:left="252" w:hanging="252"/>
        <w:rPr>
          <w:sz w:val="20"/>
          <w:szCs w:val="20"/>
        </w:rPr>
      </w:pPr>
      <w:r>
        <w:rPr>
          <w:sz w:val="20"/>
          <w:szCs w:val="20"/>
        </w:rPr>
        <w:t>List of teaching awards on Provost website</w:t>
      </w:r>
    </w:p>
    <w:p w:rsidR="00FC7D00" w:rsidRDefault="001952A0" w:rsidP="000945E2">
      <w:pPr>
        <w:pStyle w:val="NoSpacing"/>
        <w:numPr>
          <w:ilvl w:val="0"/>
          <w:numId w:val="10"/>
        </w:numPr>
        <w:ind w:left="252" w:hanging="252"/>
        <w:rPr>
          <w:sz w:val="20"/>
          <w:szCs w:val="20"/>
        </w:rPr>
      </w:pPr>
      <w:r>
        <w:rPr>
          <w:sz w:val="20"/>
          <w:szCs w:val="20"/>
        </w:rPr>
        <w:t>P&amp;T and LCPL dossier guidelines</w:t>
      </w:r>
    </w:p>
    <w:p w:rsidR="001952A0" w:rsidRPr="004714DA" w:rsidRDefault="001952A0" w:rsidP="000945E2">
      <w:pPr>
        <w:pStyle w:val="NoSpacing"/>
        <w:numPr>
          <w:ilvl w:val="0"/>
          <w:numId w:val="10"/>
        </w:numPr>
        <w:ind w:left="252" w:hanging="252"/>
        <w:rPr>
          <w:sz w:val="20"/>
          <w:szCs w:val="20"/>
        </w:rPr>
      </w:pPr>
      <w:r>
        <w:rPr>
          <w:sz w:val="20"/>
          <w:szCs w:val="20"/>
        </w:rPr>
        <w:t>APR self-studies and reports for last three years</w:t>
      </w:r>
    </w:p>
    <w:p w:rsidR="00AF09C0" w:rsidRDefault="00AF09C0">
      <w:pPr>
        <w:rPr>
          <w:b/>
          <w:i/>
        </w:rPr>
      </w:pPr>
      <w:r>
        <w:rPr>
          <w:b/>
          <w:i/>
        </w:rPr>
        <w:br w:type="page"/>
      </w:r>
    </w:p>
    <w:p w:rsidR="00AF09C0" w:rsidRPr="005672D6" w:rsidRDefault="000D5718" w:rsidP="000D5718">
      <w:pPr>
        <w:pStyle w:val="Heading4"/>
        <w:ind w:left="720" w:hanging="720"/>
      </w:pPr>
      <w:r>
        <w:lastRenderedPageBreak/>
        <w:t>4.B.</w:t>
      </w:r>
      <w:r>
        <w:tab/>
      </w:r>
      <w:r w:rsidR="00AF09C0" w:rsidRPr="005672D6">
        <w:t>The institution demonstrates a commitment to educational achievement and improvement through ongoing assessment of student learning.</w:t>
      </w:r>
    </w:p>
    <w:p w:rsidR="00AF09C0" w:rsidRPr="000D5718" w:rsidRDefault="000D5718" w:rsidP="000D5718">
      <w:pPr>
        <w:pStyle w:val="Heading5"/>
        <w:ind w:left="720" w:hanging="720"/>
        <w:rPr>
          <w:sz w:val="22"/>
          <w:szCs w:val="22"/>
        </w:rPr>
      </w:pPr>
      <w:r w:rsidRPr="000D5718">
        <w:rPr>
          <w:sz w:val="22"/>
          <w:szCs w:val="22"/>
        </w:rPr>
        <w:t>4.B.1.</w:t>
      </w:r>
      <w:r w:rsidRPr="000D5718">
        <w:rPr>
          <w:sz w:val="22"/>
          <w:szCs w:val="22"/>
        </w:rPr>
        <w:tab/>
      </w:r>
      <w:r w:rsidR="00AF09C0" w:rsidRPr="000D5718">
        <w:rPr>
          <w:sz w:val="22"/>
          <w:szCs w:val="22"/>
        </w:rPr>
        <w:t>The institution has clearly stated goals for student learning and effective processes for assessment of student learning and achievement of learning goals.</w:t>
      </w:r>
    </w:p>
    <w:p w:rsidR="00AF09C0" w:rsidRPr="000D5718" w:rsidRDefault="00AF09C0" w:rsidP="000D5718">
      <w:pPr>
        <w:pStyle w:val="Heading5"/>
        <w:ind w:left="720" w:hanging="720"/>
        <w:rPr>
          <w:sz w:val="22"/>
          <w:szCs w:val="22"/>
        </w:rPr>
      </w:pPr>
      <w:r w:rsidRPr="000D5718">
        <w:rPr>
          <w:sz w:val="22"/>
          <w:szCs w:val="22"/>
        </w:rPr>
        <w:t>4</w:t>
      </w:r>
      <w:r w:rsidR="000D5718" w:rsidRPr="000D5718">
        <w:rPr>
          <w:sz w:val="22"/>
          <w:szCs w:val="22"/>
        </w:rPr>
        <w:t>.B.2</w:t>
      </w:r>
      <w:r w:rsidR="000D5718">
        <w:rPr>
          <w:sz w:val="22"/>
          <w:szCs w:val="22"/>
        </w:rPr>
        <w:t>.</w:t>
      </w:r>
      <w:r w:rsidR="000D5718">
        <w:rPr>
          <w:sz w:val="22"/>
          <w:szCs w:val="22"/>
        </w:rPr>
        <w:tab/>
      </w:r>
      <w:r w:rsidRPr="000D5718">
        <w:rPr>
          <w:sz w:val="22"/>
          <w:szCs w:val="22"/>
        </w:rPr>
        <w:t xml:space="preserve">The institution assesses achievement of the learning outcomes that it claims for its curricular and co-curricular programs.  </w:t>
      </w:r>
    </w:p>
    <w:p w:rsidR="00AF09C0" w:rsidRPr="000D5718" w:rsidRDefault="000D5718" w:rsidP="000D5718">
      <w:pPr>
        <w:pStyle w:val="Heading5"/>
        <w:rPr>
          <w:sz w:val="22"/>
          <w:szCs w:val="22"/>
        </w:rPr>
      </w:pPr>
      <w:r>
        <w:rPr>
          <w:sz w:val="22"/>
          <w:szCs w:val="22"/>
        </w:rPr>
        <w:t>4.B.3.</w:t>
      </w:r>
      <w:r>
        <w:rPr>
          <w:sz w:val="22"/>
          <w:szCs w:val="22"/>
        </w:rPr>
        <w:tab/>
      </w:r>
      <w:r w:rsidR="00AF09C0" w:rsidRPr="000D5718">
        <w:rPr>
          <w:sz w:val="22"/>
          <w:szCs w:val="22"/>
        </w:rPr>
        <w:t>The institution uses the information gained from assessment to improve student learning.</w:t>
      </w:r>
    </w:p>
    <w:p w:rsidR="00AF09C0" w:rsidRPr="000D5718" w:rsidRDefault="000D5718" w:rsidP="000D5718">
      <w:pPr>
        <w:pStyle w:val="Heading5"/>
        <w:ind w:left="720" w:hanging="720"/>
        <w:rPr>
          <w:sz w:val="22"/>
          <w:szCs w:val="22"/>
        </w:rPr>
      </w:pPr>
      <w:r>
        <w:rPr>
          <w:sz w:val="22"/>
          <w:szCs w:val="22"/>
        </w:rPr>
        <w:t>4.B.4.</w:t>
      </w:r>
      <w:r>
        <w:rPr>
          <w:sz w:val="22"/>
          <w:szCs w:val="22"/>
        </w:rPr>
        <w:tab/>
      </w:r>
      <w:r w:rsidR="00AF09C0" w:rsidRPr="000D5718">
        <w:rPr>
          <w:sz w:val="22"/>
          <w:szCs w:val="22"/>
        </w:rPr>
        <w:t>The institution’s processes and methodologies to assess student learning reflect good practice, including the substantial participation of faculty and other instructional staff members.</w:t>
      </w:r>
    </w:p>
    <w:p w:rsidR="00170878" w:rsidRDefault="00AF09C0" w:rsidP="004E0635">
      <w:pPr>
        <w:pStyle w:val="Heading2"/>
      </w:pPr>
      <w:r>
        <w:t>Narrative</w:t>
      </w:r>
    </w:p>
    <w:p w:rsidR="008503B3" w:rsidRDefault="00A43BA3" w:rsidP="00A43BA3">
      <w:r>
        <w:t>The Higher Learning Commission 2005 Report of a Comprehensive Evaluation Visit cited the need for Miami to be more aggressive in advancing a culture of assessment.  In response,</w:t>
      </w:r>
      <w:r w:rsidR="008C7B78">
        <w:t xml:space="preserve"> </w:t>
      </w:r>
      <w:r w:rsidR="001E65B1">
        <w:t>Miami has taken incremental and purposeful</w:t>
      </w:r>
      <w:r w:rsidR="008503B3">
        <w:t xml:space="preserve"> progress steps at the instituti</w:t>
      </w:r>
      <w:r w:rsidR="001E65B1">
        <w:t>onal, program</w:t>
      </w:r>
      <w:r w:rsidR="008160AF">
        <w:t>,</w:t>
      </w:r>
      <w:r w:rsidR="001E65B1">
        <w:t xml:space="preserve"> and course levels to move toward a da</w:t>
      </w:r>
      <w:r w:rsidR="001952A0">
        <w:t>ta-driven culture of teaching an</w:t>
      </w:r>
      <w:r w:rsidR="001E65B1">
        <w:t>d learning.</w:t>
      </w:r>
    </w:p>
    <w:p w:rsidR="009358FD" w:rsidRDefault="009358FD" w:rsidP="009358FD">
      <w:pPr>
        <w:pStyle w:val="Heading4"/>
      </w:pPr>
      <w:r>
        <w:t>University Level</w:t>
      </w:r>
    </w:p>
    <w:p w:rsidR="008503B3" w:rsidRDefault="00591641" w:rsidP="00A43BA3">
      <w:r>
        <w:t xml:space="preserve">With the approval of the new Global Miami Plan revisions, Miami has articulated general competencies for student learning which will be promoted not only through general education courses but also throughout the undergraduate educational experience.  These competencies are based upon the AAC&amp;U’s “Liberal Education &amp; America’s Promise” (LEAP) outcomes.  Modified versions of the AAC&amp;U VALUE rubrics which include clear outcomes for each competency will be used for assessment.  </w:t>
      </w:r>
    </w:p>
    <w:p w:rsidR="0003085C" w:rsidRDefault="0003085C" w:rsidP="0003085C">
      <w:r>
        <w:t xml:space="preserve">The revised Global Miami Plan embraces the competencies that are included in AACU’s Liberal Education &amp; America’s Promise (LEAP).  </w:t>
      </w:r>
      <w:r w:rsidRPr="0003085C">
        <w:t xml:space="preserve">It will promote and assess the plan’s signature competencies: </w:t>
      </w:r>
      <w:hyperlink r:id="rId50" w:history="1">
        <w:r w:rsidRPr="0003085C">
          <w:rPr>
            <w:rStyle w:val="Hyperlink"/>
            <w:color w:val="auto"/>
          </w:rPr>
          <w:t>written communication</w:t>
        </w:r>
      </w:hyperlink>
      <w:r w:rsidRPr="0003085C">
        <w:t xml:space="preserve"> and </w:t>
      </w:r>
      <w:hyperlink r:id="rId51" w:history="1">
        <w:r w:rsidRPr="0003085C">
          <w:rPr>
            <w:rStyle w:val="Hyperlink"/>
            <w:color w:val="auto"/>
          </w:rPr>
          <w:t>critical thinking</w:t>
        </w:r>
      </w:hyperlink>
      <w:r w:rsidRPr="0003085C">
        <w:t>.  Instruc</w:t>
      </w:r>
      <w:r>
        <w:t>to</w:t>
      </w:r>
      <w:r w:rsidR="0099531D">
        <w:t>rs will also be required to promote</w:t>
      </w:r>
      <w:r>
        <w:t xml:space="preserve"> other competencies. </w:t>
      </w:r>
    </w:p>
    <w:p w:rsidR="0003085C" w:rsidRDefault="0003085C" w:rsidP="0003085C">
      <w:pPr>
        <w:pStyle w:val="NormalWeb"/>
      </w:pPr>
      <w:r>
        <w:t>Intellectual and Practical Skills</w:t>
      </w:r>
    </w:p>
    <w:p w:rsidR="0003085C" w:rsidRPr="00980065" w:rsidRDefault="006B3FF3" w:rsidP="00F5054C">
      <w:pPr>
        <w:pStyle w:val="ListParagraph"/>
        <w:numPr>
          <w:ilvl w:val="0"/>
          <w:numId w:val="99"/>
        </w:numPr>
        <w:rPr>
          <w:rFonts w:cs="Arial"/>
          <w:color w:val="333333"/>
        </w:rPr>
      </w:pPr>
      <w:hyperlink r:id="rId52" w:history="1">
        <w:r w:rsidR="0003085C" w:rsidRPr="00980065">
          <w:rPr>
            <w:rStyle w:val="Hyperlink"/>
            <w:rFonts w:cs="Arial"/>
          </w:rPr>
          <w:t>Inquiry and analysis</w:t>
        </w:r>
      </w:hyperlink>
    </w:p>
    <w:p w:rsidR="0003085C" w:rsidRPr="00980065" w:rsidRDefault="006B3FF3" w:rsidP="00F5054C">
      <w:pPr>
        <w:pStyle w:val="ListParagraph"/>
        <w:numPr>
          <w:ilvl w:val="0"/>
          <w:numId w:val="99"/>
        </w:numPr>
        <w:rPr>
          <w:rFonts w:cs="Arial"/>
          <w:color w:val="333333"/>
        </w:rPr>
      </w:pPr>
      <w:hyperlink r:id="rId53" w:history="1">
        <w:r w:rsidR="0003085C" w:rsidRPr="00980065">
          <w:rPr>
            <w:rStyle w:val="Hyperlink"/>
            <w:rFonts w:cs="Arial"/>
          </w:rPr>
          <w:t>Creative thinking</w:t>
        </w:r>
      </w:hyperlink>
      <w:r w:rsidR="0003085C" w:rsidRPr="00980065">
        <w:rPr>
          <w:rFonts w:cs="Arial"/>
          <w:color w:val="333333"/>
        </w:rPr>
        <w:t xml:space="preserve"> </w:t>
      </w:r>
    </w:p>
    <w:p w:rsidR="0003085C" w:rsidRPr="00980065" w:rsidRDefault="006B3FF3" w:rsidP="00F5054C">
      <w:pPr>
        <w:pStyle w:val="ListParagraph"/>
        <w:numPr>
          <w:ilvl w:val="0"/>
          <w:numId w:val="99"/>
        </w:numPr>
        <w:rPr>
          <w:rFonts w:cs="Arial"/>
          <w:color w:val="333333"/>
        </w:rPr>
      </w:pPr>
      <w:hyperlink r:id="rId54" w:history="1">
        <w:r w:rsidR="0003085C" w:rsidRPr="00980065">
          <w:rPr>
            <w:rStyle w:val="Hyperlink"/>
            <w:rFonts w:cs="Arial"/>
          </w:rPr>
          <w:t>Oral communication</w:t>
        </w:r>
      </w:hyperlink>
      <w:r w:rsidR="0003085C" w:rsidRPr="00980065">
        <w:rPr>
          <w:rFonts w:cs="Arial"/>
          <w:color w:val="333333"/>
        </w:rPr>
        <w:t xml:space="preserve"> </w:t>
      </w:r>
    </w:p>
    <w:p w:rsidR="0003085C" w:rsidRPr="00980065" w:rsidRDefault="006B3FF3" w:rsidP="00F5054C">
      <w:pPr>
        <w:pStyle w:val="ListParagraph"/>
        <w:numPr>
          <w:ilvl w:val="0"/>
          <w:numId w:val="99"/>
        </w:numPr>
        <w:rPr>
          <w:rFonts w:cs="Arial"/>
          <w:color w:val="333333"/>
        </w:rPr>
      </w:pPr>
      <w:hyperlink r:id="rId55" w:history="1">
        <w:r w:rsidR="0003085C" w:rsidRPr="00980065">
          <w:rPr>
            <w:rStyle w:val="Hyperlink"/>
            <w:rFonts w:cs="Arial"/>
          </w:rPr>
          <w:t>Reading</w:t>
        </w:r>
      </w:hyperlink>
      <w:r w:rsidR="0003085C" w:rsidRPr="00980065">
        <w:rPr>
          <w:rFonts w:cs="Arial"/>
          <w:color w:val="333333"/>
        </w:rPr>
        <w:t xml:space="preserve"> </w:t>
      </w:r>
    </w:p>
    <w:p w:rsidR="0003085C" w:rsidRPr="00980065" w:rsidRDefault="006B3FF3" w:rsidP="00F5054C">
      <w:pPr>
        <w:pStyle w:val="ListParagraph"/>
        <w:numPr>
          <w:ilvl w:val="0"/>
          <w:numId w:val="99"/>
        </w:numPr>
        <w:rPr>
          <w:rFonts w:cs="Arial"/>
          <w:color w:val="333333"/>
        </w:rPr>
      </w:pPr>
      <w:hyperlink r:id="rId56" w:history="1">
        <w:r w:rsidR="0003085C" w:rsidRPr="00980065">
          <w:rPr>
            <w:rStyle w:val="Hyperlink"/>
            <w:rFonts w:cs="Arial"/>
          </w:rPr>
          <w:t>Quantitative literacy</w:t>
        </w:r>
      </w:hyperlink>
      <w:r w:rsidR="0003085C" w:rsidRPr="00980065">
        <w:rPr>
          <w:rFonts w:cs="Arial"/>
          <w:color w:val="333333"/>
        </w:rPr>
        <w:t xml:space="preserve"> </w:t>
      </w:r>
    </w:p>
    <w:p w:rsidR="0003085C" w:rsidRPr="00980065" w:rsidRDefault="006B3FF3" w:rsidP="00F5054C">
      <w:pPr>
        <w:pStyle w:val="ListParagraph"/>
        <w:numPr>
          <w:ilvl w:val="0"/>
          <w:numId w:val="99"/>
        </w:numPr>
        <w:rPr>
          <w:rFonts w:cs="Arial"/>
          <w:color w:val="333333"/>
        </w:rPr>
      </w:pPr>
      <w:hyperlink r:id="rId57" w:history="1">
        <w:r w:rsidR="0003085C" w:rsidRPr="00980065">
          <w:rPr>
            <w:rStyle w:val="Hyperlink"/>
            <w:rFonts w:cs="Arial"/>
          </w:rPr>
          <w:t>Information literacy</w:t>
        </w:r>
      </w:hyperlink>
      <w:r w:rsidR="0003085C" w:rsidRPr="00980065">
        <w:rPr>
          <w:rFonts w:cs="Arial"/>
          <w:color w:val="333333"/>
        </w:rPr>
        <w:t xml:space="preserve"> </w:t>
      </w:r>
    </w:p>
    <w:p w:rsidR="0003085C" w:rsidRPr="00980065" w:rsidRDefault="006B3FF3" w:rsidP="00F5054C">
      <w:pPr>
        <w:pStyle w:val="ListParagraph"/>
        <w:numPr>
          <w:ilvl w:val="0"/>
          <w:numId w:val="99"/>
        </w:numPr>
        <w:rPr>
          <w:rFonts w:cs="Arial"/>
          <w:color w:val="333333"/>
        </w:rPr>
      </w:pPr>
      <w:hyperlink r:id="rId58" w:history="1">
        <w:r w:rsidR="0003085C" w:rsidRPr="00980065">
          <w:rPr>
            <w:rStyle w:val="Hyperlink"/>
            <w:rFonts w:cs="Arial"/>
          </w:rPr>
          <w:t>Teamwork</w:t>
        </w:r>
      </w:hyperlink>
      <w:r w:rsidR="0003085C" w:rsidRPr="00980065">
        <w:rPr>
          <w:rFonts w:cs="Arial"/>
          <w:color w:val="333333"/>
        </w:rPr>
        <w:t xml:space="preserve"> </w:t>
      </w:r>
    </w:p>
    <w:p w:rsidR="0003085C" w:rsidRPr="00980065" w:rsidRDefault="006B3FF3" w:rsidP="00F5054C">
      <w:pPr>
        <w:pStyle w:val="ListParagraph"/>
        <w:numPr>
          <w:ilvl w:val="0"/>
          <w:numId w:val="99"/>
        </w:numPr>
        <w:rPr>
          <w:rFonts w:cs="Arial"/>
          <w:color w:val="333333"/>
        </w:rPr>
      </w:pPr>
      <w:hyperlink r:id="rId59" w:history="1">
        <w:r w:rsidR="0003085C" w:rsidRPr="00980065">
          <w:rPr>
            <w:rStyle w:val="Hyperlink"/>
            <w:rFonts w:cs="Arial"/>
          </w:rPr>
          <w:t>Problem solving</w:t>
        </w:r>
      </w:hyperlink>
      <w:r w:rsidR="0003085C" w:rsidRPr="00980065">
        <w:rPr>
          <w:rFonts w:cs="Arial"/>
          <w:color w:val="333333"/>
        </w:rPr>
        <w:t xml:space="preserve"> </w:t>
      </w:r>
    </w:p>
    <w:p w:rsidR="0003085C" w:rsidRDefault="0003085C" w:rsidP="0003085C">
      <w:pPr>
        <w:pStyle w:val="NormalWeb"/>
        <w:rPr>
          <w:rFonts w:ascii="Arial" w:hAnsi="Arial" w:cs="Arial"/>
          <w:color w:val="333333"/>
          <w:sz w:val="18"/>
          <w:szCs w:val="18"/>
        </w:rPr>
      </w:pPr>
      <w:r>
        <w:t>Personal and Social Responsibility</w:t>
      </w:r>
    </w:p>
    <w:p w:rsidR="0003085C" w:rsidRPr="00980065" w:rsidRDefault="006B3FF3" w:rsidP="00F5054C">
      <w:pPr>
        <w:pStyle w:val="ListParagraph"/>
        <w:numPr>
          <w:ilvl w:val="0"/>
          <w:numId w:val="100"/>
        </w:numPr>
        <w:rPr>
          <w:rFonts w:cs="Arial"/>
          <w:color w:val="333333"/>
        </w:rPr>
      </w:pPr>
      <w:hyperlink r:id="rId60" w:history="1">
        <w:r w:rsidR="0003085C" w:rsidRPr="00980065">
          <w:rPr>
            <w:rStyle w:val="Hyperlink"/>
            <w:rFonts w:cs="Arial"/>
          </w:rPr>
          <w:t>Civic knowledge and engagement—local and global</w:t>
        </w:r>
      </w:hyperlink>
      <w:r w:rsidR="0003085C" w:rsidRPr="00980065">
        <w:rPr>
          <w:rFonts w:cs="Arial"/>
          <w:color w:val="333333"/>
        </w:rPr>
        <w:t xml:space="preserve"> </w:t>
      </w:r>
    </w:p>
    <w:p w:rsidR="0003085C" w:rsidRPr="00980065" w:rsidRDefault="006B3FF3" w:rsidP="00F5054C">
      <w:pPr>
        <w:pStyle w:val="ListParagraph"/>
        <w:numPr>
          <w:ilvl w:val="0"/>
          <w:numId w:val="100"/>
        </w:numPr>
        <w:rPr>
          <w:rFonts w:cs="Arial"/>
          <w:color w:val="0070C0"/>
        </w:rPr>
      </w:pPr>
      <w:hyperlink r:id="rId61" w:history="1">
        <w:r w:rsidR="0003085C" w:rsidRPr="00980065">
          <w:rPr>
            <w:rStyle w:val="Hyperlink"/>
            <w:rFonts w:cs="Arial"/>
            <w:color w:val="0070C0"/>
          </w:rPr>
          <w:t>Intercultural knowledge and competence</w:t>
        </w:r>
      </w:hyperlink>
      <w:r w:rsidR="0003085C" w:rsidRPr="00980065">
        <w:rPr>
          <w:rFonts w:cs="Arial"/>
          <w:color w:val="0070C0"/>
        </w:rPr>
        <w:t xml:space="preserve"> </w:t>
      </w:r>
    </w:p>
    <w:p w:rsidR="0003085C" w:rsidRPr="00980065" w:rsidRDefault="006B3FF3" w:rsidP="00F5054C">
      <w:pPr>
        <w:pStyle w:val="ListParagraph"/>
        <w:numPr>
          <w:ilvl w:val="0"/>
          <w:numId w:val="100"/>
        </w:numPr>
        <w:rPr>
          <w:rFonts w:cs="Arial"/>
          <w:color w:val="333333"/>
        </w:rPr>
      </w:pPr>
      <w:hyperlink r:id="rId62" w:history="1">
        <w:r w:rsidR="0003085C" w:rsidRPr="00980065">
          <w:rPr>
            <w:rStyle w:val="Hyperlink"/>
            <w:rFonts w:cs="Arial"/>
          </w:rPr>
          <w:t>Ethical reasoning</w:t>
        </w:r>
      </w:hyperlink>
      <w:r w:rsidR="0003085C" w:rsidRPr="00980065">
        <w:rPr>
          <w:rFonts w:cs="Arial"/>
          <w:color w:val="333333"/>
        </w:rPr>
        <w:t xml:space="preserve"> </w:t>
      </w:r>
    </w:p>
    <w:p w:rsidR="0003085C" w:rsidRPr="00980065" w:rsidRDefault="006B3FF3" w:rsidP="00F5054C">
      <w:pPr>
        <w:pStyle w:val="ListParagraph"/>
        <w:numPr>
          <w:ilvl w:val="0"/>
          <w:numId w:val="100"/>
        </w:numPr>
        <w:rPr>
          <w:rFonts w:cs="Arial"/>
          <w:color w:val="333333"/>
        </w:rPr>
      </w:pPr>
      <w:hyperlink r:id="rId63" w:history="1">
        <w:r w:rsidR="0003085C" w:rsidRPr="00980065">
          <w:rPr>
            <w:rStyle w:val="Hyperlink"/>
            <w:rFonts w:cs="Arial"/>
          </w:rPr>
          <w:t>Foundations and skills for lifelong learning</w:t>
        </w:r>
      </w:hyperlink>
      <w:r w:rsidR="0003085C" w:rsidRPr="00980065">
        <w:rPr>
          <w:rFonts w:cs="Arial"/>
          <w:color w:val="333333"/>
        </w:rPr>
        <w:t xml:space="preserve"> </w:t>
      </w:r>
    </w:p>
    <w:p w:rsidR="0003085C" w:rsidRPr="00980065" w:rsidRDefault="006B3FF3" w:rsidP="00F5054C">
      <w:pPr>
        <w:pStyle w:val="ListParagraph"/>
        <w:numPr>
          <w:ilvl w:val="0"/>
          <w:numId w:val="100"/>
        </w:numPr>
        <w:rPr>
          <w:rFonts w:cs="Arial"/>
          <w:color w:val="333333"/>
        </w:rPr>
      </w:pPr>
      <w:hyperlink r:id="rId64" w:history="1">
        <w:r w:rsidR="0003085C" w:rsidRPr="00980065">
          <w:rPr>
            <w:rStyle w:val="Hyperlink"/>
            <w:rFonts w:cs="Arial"/>
          </w:rPr>
          <w:t>Global learning</w:t>
        </w:r>
      </w:hyperlink>
    </w:p>
    <w:p w:rsidR="0003085C" w:rsidRDefault="0003085C" w:rsidP="0003085C">
      <w:pPr>
        <w:pStyle w:val="NormalWeb"/>
        <w:rPr>
          <w:rFonts w:ascii="Arial" w:hAnsi="Arial" w:cs="Arial"/>
          <w:color w:val="333333"/>
          <w:sz w:val="18"/>
          <w:szCs w:val="18"/>
        </w:rPr>
      </w:pPr>
      <w:r>
        <w:t>Integrative and Applied Learning</w:t>
      </w:r>
    </w:p>
    <w:p w:rsidR="0003085C" w:rsidRPr="00980065" w:rsidRDefault="006B3FF3" w:rsidP="00F5054C">
      <w:pPr>
        <w:pStyle w:val="ListParagraph"/>
        <w:numPr>
          <w:ilvl w:val="0"/>
          <w:numId w:val="101"/>
        </w:numPr>
        <w:rPr>
          <w:rFonts w:cs="Arial"/>
          <w:color w:val="333333"/>
        </w:rPr>
      </w:pPr>
      <w:hyperlink r:id="rId65" w:history="1">
        <w:r w:rsidR="0003085C" w:rsidRPr="00980065">
          <w:rPr>
            <w:rStyle w:val="Hyperlink"/>
            <w:rFonts w:cs="Arial"/>
          </w:rPr>
          <w:t>Integrative and applied learning</w:t>
        </w:r>
      </w:hyperlink>
    </w:p>
    <w:p w:rsidR="0003085C" w:rsidRDefault="00D94AEF" w:rsidP="0003085C">
      <w:r>
        <w:t xml:space="preserve">The </w:t>
      </w:r>
      <w:r w:rsidR="0003085C">
        <w:t xml:space="preserve">two signature competencies of written communication and critical thinking will be formally assessed using the AAC&amp;U VALUE rubrics once every two years.  </w:t>
      </w:r>
      <w:r>
        <w:t xml:space="preserve">The </w:t>
      </w:r>
      <w:r w:rsidR="0003085C">
        <w:t>baseline assessment will be done every other year via a writing assignment in English 111 sections. Students will be given a writing prompt focusing on their backgrounds and goals as writers and critical thinkers and their work wi</w:t>
      </w:r>
      <w:r w:rsidR="002239AE">
        <w:t>ll be posted to an online assessment</w:t>
      </w:r>
      <w:r w:rsidR="0003085C">
        <w:t xml:space="preserve"> </w:t>
      </w:r>
      <w:r w:rsidR="00586179">
        <w:t>system.  Similarly i</w:t>
      </w:r>
      <w:r w:rsidR="0003085C">
        <w:t>nstructors of capstone courses will re</w:t>
      </w:r>
      <w:r w:rsidR="00F726F1">
        <w:t>quire a written, student-l</w:t>
      </w:r>
      <w:r w:rsidR="0003085C">
        <w:t>ed project that incorporates an opportunity for critical thinking. Instructors will be responsible for ensuring that students’ assignments are posted via Miami’s Learning Management System, which will be integrated with an appropriate assessment platform.  Ideally, this written pro</w:t>
      </w:r>
      <w:r w:rsidR="002239AE">
        <w:t>ject will reflect the prompt that</w:t>
      </w:r>
      <w:r w:rsidR="0003085C">
        <w:t xml:space="preserve"> guides the baseline assessment.</w:t>
      </w:r>
    </w:p>
    <w:p w:rsidR="0003085C" w:rsidRDefault="0003085C" w:rsidP="0003085C">
      <w:r>
        <w:t xml:space="preserve">A random sample (350-400) of the first-year assignments and a random sample (350-400) of capstone assignments (for a total of 700-800 artifacts) will be scored every other year by </w:t>
      </w:r>
      <w:r w:rsidR="00231545">
        <w:t xml:space="preserve"> a trained team of faculty, librarians and doctoral students </w:t>
      </w:r>
      <w:r>
        <w:t xml:space="preserve">using </w:t>
      </w:r>
      <w:r w:rsidR="00231545">
        <w:t xml:space="preserve">modified versions of </w:t>
      </w:r>
      <w:r>
        <w:t>the two AAC&amp;U VALUE rubrics focused on critical thinking and written communication.</w:t>
      </w:r>
    </w:p>
    <w:p w:rsidR="00AD70DB" w:rsidRDefault="0003085C" w:rsidP="00AD70DB">
      <w:r>
        <w:t xml:space="preserve">This </w:t>
      </w:r>
      <w:r w:rsidRPr="00E7561D">
        <w:t>routine assessment of th</w:t>
      </w:r>
      <w:r>
        <w:t>e two signature</w:t>
      </w:r>
      <w:r w:rsidR="00D94AEF">
        <w:t xml:space="preserve"> competencies will</w:t>
      </w:r>
      <w:r>
        <w:t xml:space="preserve"> be enhanced through</w:t>
      </w:r>
      <w:r w:rsidRPr="00E7561D">
        <w:t xml:space="preserve"> </w:t>
      </w:r>
      <w:r>
        <w:t>additional assessment projects developed and implemented by the Liberal Education Council</w:t>
      </w:r>
      <w:r w:rsidR="00AD70DB">
        <w:t>, including random syllabi review of each component of the plan, studen</w:t>
      </w:r>
      <w:r w:rsidR="00993466">
        <w:t>t and faculty surveys on the Global Miami Plan</w:t>
      </w:r>
      <w:r w:rsidR="00AD70DB">
        <w:t xml:space="preserve">, and review of the aggregate responses to the online course evaluation questions focusing on liberal education. </w:t>
      </w:r>
    </w:p>
    <w:p w:rsidR="004C4362" w:rsidRDefault="004C4362" w:rsidP="00A43BA3">
      <w:r>
        <w:t>The previous Global Miami Plan was focused on four learning goals or principles:</w:t>
      </w:r>
    </w:p>
    <w:p w:rsidR="004C4362" w:rsidRDefault="004C4362" w:rsidP="00F5054C">
      <w:pPr>
        <w:pStyle w:val="ListParagraph"/>
        <w:numPr>
          <w:ilvl w:val="0"/>
          <w:numId w:val="51"/>
        </w:numPr>
      </w:pPr>
      <w:r>
        <w:t>Critical Thinking</w:t>
      </w:r>
    </w:p>
    <w:p w:rsidR="004C4362" w:rsidRDefault="004C4362" w:rsidP="00F5054C">
      <w:pPr>
        <w:pStyle w:val="ListParagraph"/>
        <w:numPr>
          <w:ilvl w:val="0"/>
          <w:numId w:val="51"/>
        </w:numPr>
      </w:pPr>
      <w:r>
        <w:t>Understanding Contexts</w:t>
      </w:r>
    </w:p>
    <w:p w:rsidR="004C4362" w:rsidRDefault="004C4362" w:rsidP="00F5054C">
      <w:pPr>
        <w:pStyle w:val="ListParagraph"/>
        <w:numPr>
          <w:ilvl w:val="0"/>
          <w:numId w:val="51"/>
        </w:numPr>
      </w:pPr>
      <w:r>
        <w:t>Engaging with Other Learners</w:t>
      </w:r>
    </w:p>
    <w:p w:rsidR="004C4362" w:rsidRDefault="004C4362" w:rsidP="00F5054C">
      <w:pPr>
        <w:pStyle w:val="ListParagraph"/>
        <w:numPr>
          <w:ilvl w:val="0"/>
          <w:numId w:val="51"/>
        </w:numPr>
      </w:pPr>
      <w:r>
        <w:t>Reflecting &amp; Acting</w:t>
      </w:r>
    </w:p>
    <w:p w:rsidR="008503B3" w:rsidRDefault="00591625" w:rsidP="00A43BA3">
      <w:r>
        <w:t>For this plan</w:t>
      </w:r>
      <w:r w:rsidR="00D47920">
        <w:t>, assessment of general education was cond</w:t>
      </w:r>
      <w:r w:rsidR="00D9713C">
        <w:t xml:space="preserve">ucted </w:t>
      </w:r>
      <w:r w:rsidR="00F16A31">
        <w:t xml:space="preserve">in two ways: (1) assessing outcomes </w:t>
      </w:r>
      <w:r w:rsidR="00D9713C">
        <w:t>at the course level and reviewed via the academic program review process</w:t>
      </w:r>
      <w:r w:rsidR="00F16A31">
        <w:t xml:space="preserve">; </w:t>
      </w:r>
      <w:r w:rsidR="00365D23">
        <w:t xml:space="preserve">and </w:t>
      </w:r>
      <w:r w:rsidR="00F16A31">
        <w:t xml:space="preserve">(2) </w:t>
      </w:r>
      <w:r w:rsidR="00365D23">
        <w:t>examining the assessment of GMP goals via program</w:t>
      </w:r>
      <w:r w:rsidR="004C4362">
        <w:t>-level</w:t>
      </w:r>
      <w:r w:rsidR="00365D23">
        <w:t xml:space="preserve"> asse</w:t>
      </w:r>
      <w:r w:rsidR="00FA454E">
        <w:t>ssment plans and reports</w:t>
      </w:r>
      <w:r w:rsidR="004C4362">
        <w:t xml:space="preserve">.  </w:t>
      </w:r>
      <w:r>
        <w:t>Liberal Education Council reviewed the findings to make improvements in its learning expectations and curricular review process (see summaries</w:t>
      </w:r>
      <w:r w:rsidR="001B7A0E">
        <w:t xml:space="preserve"> of LEC reviews of assessment and</w:t>
      </w:r>
      <w:r w:rsidR="00D9713C">
        <w:t xml:space="preserve"> summary of Miami Plan Assessment, 2006-</w:t>
      </w:r>
      <w:r w:rsidR="004C4362">
        <w:t>2013</w:t>
      </w:r>
      <w:r w:rsidR="001B7A0E">
        <w:t>).</w:t>
      </w:r>
    </w:p>
    <w:p w:rsidR="00F16A31" w:rsidRDefault="00FA454E" w:rsidP="00A43BA3">
      <w:r>
        <w:t>The first approach began in 2003 when</w:t>
      </w:r>
      <w:r w:rsidR="00AE3B2D">
        <w:t xml:space="preserve"> the director of l</w:t>
      </w:r>
      <w:r w:rsidR="00F16A31">
        <w:t>i</w:t>
      </w:r>
      <w:r w:rsidR="00AE3B2D">
        <w:t>beral e</w:t>
      </w:r>
      <w:r w:rsidR="00F16A31">
        <w:t xml:space="preserve">ducation established the </w:t>
      </w:r>
      <w:r w:rsidR="001B7A0E">
        <w:t>“</w:t>
      </w:r>
      <w:r w:rsidR="00F16A31">
        <w:t>Three-Tiered Model for Assessment</w:t>
      </w:r>
      <w:r w:rsidR="001B7A0E">
        <w:t>”</w:t>
      </w:r>
      <w:r w:rsidR="00F16A31">
        <w:t xml:space="preserve"> </w:t>
      </w:r>
      <w:r>
        <w:t xml:space="preserve">which </w:t>
      </w:r>
      <w:r w:rsidR="00F16A31">
        <w:t>examine</w:t>
      </w:r>
      <w:r>
        <w:t>d</w:t>
      </w:r>
      <w:r w:rsidR="00F16A31">
        <w:t xml:space="preserve"> the four Miami Plan goals from three perspectives: that of the faculty (Tier I); that of the students (Tier II); and a direct assessment of student work (Tier III) pertaining to at least one of the four goals. In assessment reports, departments were requested to </w:t>
      </w:r>
      <w:r w:rsidR="00AE3B2D">
        <w:t>specify how their GMP courses (foundation, thematic sequence, and c</w:t>
      </w:r>
      <w:r w:rsidR="00F16A31">
        <w:t>apstone) manifested GMP goals and</w:t>
      </w:r>
      <w:r w:rsidR="00AE3B2D">
        <w:t xml:space="preserve"> were being assessed using the three-tiered m</w:t>
      </w:r>
      <w:r w:rsidR="00F16A31">
        <w:t>odel.</w:t>
      </w:r>
      <w:r w:rsidR="0089430C">
        <w:t xml:space="preserve">  For an example, see summary of Department of Physics in Assessment Brief #22 and the History Department in Assessment Brief #35.</w:t>
      </w:r>
    </w:p>
    <w:p w:rsidR="00FA454E" w:rsidRPr="00022511" w:rsidRDefault="00FA454E" w:rsidP="00022511">
      <w:pPr>
        <w:rPr>
          <w:rFonts w:ascii="Times New Roman" w:hAnsi="Times New Roman" w:cs="Times New Roman"/>
          <w:color w:val="000000"/>
        </w:rPr>
      </w:pPr>
      <w:r>
        <w:t xml:space="preserve">The second </w:t>
      </w:r>
      <w:r w:rsidR="00EE5453">
        <w:t xml:space="preserve">approach was initiated </w:t>
      </w:r>
      <w:r w:rsidR="00022511">
        <w:t>i</w:t>
      </w:r>
      <w:r w:rsidR="00EE5453">
        <w:t xml:space="preserve">n the fall of 2011 when </w:t>
      </w:r>
      <w:r w:rsidR="00EE5453" w:rsidRPr="00EE5453">
        <w:t xml:space="preserve">University Senate approved a new plan that would embed GMP assessment into program-level assessment. </w:t>
      </w:r>
      <w:r w:rsidR="00EE5453">
        <w:t xml:space="preserve">Departments were </w:t>
      </w:r>
      <w:r w:rsidR="00EE5453" w:rsidRPr="00EE5453">
        <w:t>aske</w:t>
      </w:r>
      <w:r w:rsidR="00EE5453">
        <w:t xml:space="preserve">d to report their </w:t>
      </w:r>
      <w:r w:rsidR="00EE5453" w:rsidRPr="00EE5453">
        <w:t>program level student learning outcomes (SLOs) for each of their undergraduate degree p</w:t>
      </w:r>
      <w:r w:rsidR="00EE5453">
        <w:t>rograms and describe</w:t>
      </w:r>
      <w:r w:rsidR="00EE5453" w:rsidRPr="00EE5453">
        <w:t xml:space="preserve"> lin</w:t>
      </w:r>
      <w:r w:rsidR="00EE5453">
        <w:t>kages between those learning outcomes</w:t>
      </w:r>
      <w:r w:rsidR="00EE5453" w:rsidRPr="00EE5453">
        <w:t xml:space="preserve"> and the four</w:t>
      </w:r>
      <w:r w:rsidR="00AE3B2D">
        <w:t xml:space="preserve"> GMP goals</w:t>
      </w:r>
      <w:r w:rsidR="00EE5453" w:rsidRPr="00EE5453">
        <w:t xml:space="preserve"> (critical thinking, understanding contexts, engaging other learners</w:t>
      </w:r>
      <w:r w:rsidR="00AE3B2D">
        <w:t>, reflecting &amp; acting)</w:t>
      </w:r>
      <w:r w:rsidR="00EE5453" w:rsidRPr="00EE5453">
        <w:t xml:space="preserve">. </w:t>
      </w:r>
      <w:r w:rsidR="00586179">
        <w:t xml:space="preserve"> </w:t>
      </w:r>
      <w:r w:rsidR="009358FD">
        <w:t xml:space="preserve">Then, CELTUA and </w:t>
      </w:r>
      <w:r w:rsidR="00586179">
        <w:t xml:space="preserve">the </w:t>
      </w:r>
      <w:r w:rsidR="009358FD">
        <w:t xml:space="preserve">Liberal Education Council examined </w:t>
      </w:r>
      <w:r w:rsidR="00EE5453" w:rsidRPr="00EE5453">
        <w:t xml:space="preserve">departmental assessment reports (between 2011 and </w:t>
      </w:r>
      <w:r w:rsidR="00586179">
        <w:t>2013) to find out which of the SLOs departments</w:t>
      </w:r>
      <w:r w:rsidR="00EE5453" w:rsidRPr="00EE5453">
        <w:t xml:space="preserve"> had assessed, and by extension, wh</w:t>
      </w:r>
      <w:r w:rsidR="001B7A0E">
        <w:t>ich GMP goals had been assessed (s</w:t>
      </w:r>
      <w:r w:rsidR="000C2483">
        <w:t xml:space="preserve">ee Assessment Briefs </w:t>
      </w:r>
      <w:r w:rsidR="001B7A0E">
        <w:t>#82 and 83)</w:t>
      </w:r>
      <w:r w:rsidR="000C2483">
        <w:t>.</w:t>
      </w:r>
    </w:p>
    <w:p w:rsidR="008B55CA" w:rsidRPr="008B55CA" w:rsidRDefault="00591625" w:rsidP="008B55CA">
      <w:r>
        <w:lastRenderedPageBreak/>
        <w:t xml:space="preserve">In addition, </w:t>
      </w:r>
      <w:r w:rsidR="009F7120">
        <w:t>the Office of Liberal Education</w:t>
      </w:r>
      <w:r w:rsidR="001B7A0E">
        <w:t>,</w:t>
      </w:r>
      <w:r w:rsidR="009F7120">
        <w:t xml:space="preserve"> </w:t>
      </w:r>
      <w:r w:rsidR="002239AE">
        <w:t>in partnership with CELTUA</w:t>
      </w:r>
      <w:r w:rsidR="001B7A0E">
        <w:t>,</w:t>
      </w:r>
      <w:r w:rsidR="002239AE">
        <w:t xml:space="preserve"> </w:t>
      </w:r>
      <w:r w:rsidR="009F7120">
        <w:t>conducted several assessment projects focusing on the Global Miami Plan:</w:t>
      </w:r>
    </w:p>
    <w:p w:rsidR="005B202F" w:rsidRDefault="008B55CA" w:rsidP="00F5054C">
      <w:pPr>
        <w:pStyle w:val="ListParagraph"/>
        <w:numPr>
          <w:ilvl w:val="0"/>
          <w:numId w:val="101"/>
        </w:numPr>
      </w:pPr>
      <w:r w:rsidRPr="00980065">
        <w:rPr>
          <w:b/>
        </w:rPr>
        <w:t>Assessing Critical Thinking Project</w:t>
      </w:r>
      <w:r w:rsidRPr="00F26736">
        <w:t xml:space="preserve"> involved over 64 faculty </w:t>
      </w:r>
      <w:r w:rsidR="002239AE">
        <w:t>members who worked to adapt a</w:t>
      </w:r>
      <w:r w:rsidRPr="00F26736">
        <w:t xml:space="preserve"> critical thinking rubric for their classes</w:t>
      </w:r>
      <w:r w:rsidR="00544C37" w:rsidRPr="00F26736">
        <w:t xml:space="preserve"> from 2005-2010</w:t>
      </w:r>
      <w:r w:rsidRPr="00F26736">
        <w:t>. This</w:t>
      </w:r>
      <w:r w:rsidR="00A71DAA">
        <w:t xml:space="preserve"> project</w:t>
      </w:r>
      <w:r w:rsidRPr="00F26736">
        <w:t xml:space="preserve"> led to widespread familiarity with a common framework </w:t>
      </w:r>
      <w:r w:rsidR="008B7CF0" w:rsidRPr="00F26736">
        <w:t>for examining critical thinking (see Assessment Brief #12</w:t>
      </w:r>
      <w:r w:rsidR="00EE5843" w:rsidRPr="00F26736">
        <w:t>, 21, 41</w:t>
      </w:r>
      <w:r w:rsidR="008B7CF0" w:rsidRPr="00F26736">
        <w:t>).</w:t>
      </w:r>
    </w:p>
    <w:p w:rsidR="005B202F" w:rsidRDefault="00327A82" w:rsidP="00F5054C">
      <w:pPr>
        <w:pStyle w:val="ListParagraph"/>
        <w:numPr>
          <w:ilvl w:val="0"/>
          <w:numId w:val="101"/>
        </w:numPr>
      </w:pPr>
      <w:r w:rsidRPr="00980065">
        <w:rPr>
          <w:b/>
        </w:rPr>
        <w:t>TOP 25 Project</w:t>
      </w:r>
      <w:r w:rsidRPr="00F26736">
        <w:t xml:space="preserve"> </w:t>
      </w:r>
      <w:r w:rsidR="00A71DAA">
        <w:t>lasted f</w:t>
      </w:r>
      <w:r w:rsidR="002239AE">
        <w:t>rom 2007</w:t>
      </w:r>
      <w:r w:rsidR="00A71DAA">
        <w:t xml:space="preserve"> to 2013. F</w:t>
      </w:r>
      <w:r w:rsidR="000D437C" w:rsidRPr="00F26736">
        <w:t>aculty teams who were charged with redesigning their high enrollment courses to make them more inquiry-driven were also required to identify appropriate assessment methods as part of their initial pr</w:t>
      </w:r>
      <w:r w:rsidR="00154371">
        <w:t xml:space="preserve">oposal and work with </w:t>
      </w:r>
      <w:r w:rsidR="000D437C" w:rsidRPr="00F26736">
        <w:t>staff to ensure the timely collection and use of assessment data throughout the</w:t>
      </w:r>
      <w:r w:rsidR="00F26736">
        <w:t xml:space="preserve"> project. Assessment staff </w:t>
      </w:r>
      <w:r w:rsidR="000D437C" w:rsidRPr="00F26736">
        <w:t>monitor</w:t>
      </w:r>
      <w:r w:rsidR="00F26736">
        <w:t>ed</w:t>
      </w:r>
      <w:r w:rsidR="000D437C" w:rsidRPr="00F26736">
        <w:t xml:space="preserve"> and collect</w:t>
      </w:r>
      <w:r w:rsidR="00F26736">
        <w:t>ed</w:t>
      </w:r>
      <w:r w:rsidR="000D437C" w:rsidRPr="00F26736">
        <w:t xml:space="preserve"> assessment data as part of the project. The three primary areas of assessment include</w:t>
      </w:r>
      <w:r w:rsidR="005B202F">
        <w:t>d</w:t>
      </w:r>
      <w:r w:rsidR="000D437C" w:rsidRPr="00F26736">
        <w:t>:</w:t>
      </w:r>
      <w:r w:rsidR="00F26736" w:rsidRPr="00F26736">
        <w:t xml:space="preserve"> </w:t>
      </w:r>
      <w:r w:rsidR="000D437C" w:rsidRPr="00F26736">
        <w:t>1) content mastery</w:t>
      </w:r>
      <w:r w:rsidR="00F26736" w:rsidRPr="00F26736">
        <w:t xml:space="preserve">; </w:t>
      </w:r>
      <w:r w:rsidR="000D437C" w:rsidRPr="00F26736">
        <w:t>2) critical thinking</w:t>
      </w:r>
      <w:r w:rsidR="00F26736" w:rsidRPr="00F26736">
        <w:t xml:space="preserve">; and </w:t>
      </w:r>
      <w:r w:rsidR="000D437C" w:rsidRPr="00F26736">
        <w:t>3) student satisfaction</w:t>
      </w:r>
      <w:r w:rsidR="00F26736" w:rsidRPr="00F26736">
        <w:t xml:space="preserve">.  </w:t>
      </w:r>
      <w:r w:rsidR="005B202F">
        <w:t xml:space="preserve">Critical thinking papers were collected and assessed at least twice for each course, and results reported to team leaders.  This feedback often resulted in improved assignments.  Both faculty and student perception data indicate that redesigned courses were effective in increasing student engagement, active and inquiry-based learning, critical thinking, and time spent preparing outside of class.  </w:t>
      </w:r>
    </w:p>
    <w:p w:rsidR="00EE5843" w:rsidRDefault="000C2483" w:rsidP="00F5054C">
      <w:pPr>
        <w:pStyle w:val="ListParagraph"/>
        <w:numPr>
          <w:ilvl w:val="0"/>
          <w:numId w:val="101"/>
        </w:numPr>
      </w:pPr>
      <w:r w:rsidRPr="00980065">
        <w:rPr>
          <w:b/>
        </w:rPr>
        <w:t>Global &amp; Intercultural Understanding Project</w:t>
      </w:r>
      <w:r w:rsidR="00EE5843">
        <w:t xml:space="preserve"> examine</w:t>
      </w:r>
      <w:r w:rsidR="00154371">
        <w:t>d</w:t>
      </w:r>
      <w:r w:rsidR="00EE5843">
        <w:t xml:space="preserve"> students’ intercultural and global unders</w:t>
      </w:r>
      <w:r w:rsidR="00544C37">
        <w:t>t</w:t>
      </w:r>
      <w:r w:rsidR="00EE5843">
        <w:t xml:space="preserve">anding using the Global Perspectives Inventory and an internal tool, </w:t>
      </w:r>
      <w:r w:rsidR="00C50EA5">
        <w:t>the “</w:t>
      </w:r>
      <w:r w:rsidR="00544C37">
        <w:t>Miami University Diversity Awareness Scale</w:t>
      </w:r>
      <w:r w:rsidR="00C50EA5">
        <w:t>”</w:t>
      </w:r>
      <w:r w:rsidR="00544C37">
        <w:t xml:space="preserve"> (</w:t>
      </w:r>
      <w:r w:rsidR="00EE5843">
        <w:t>MUDAS</w:t>
      </w:r>
      <w:r w:rsidR="00544C37">
        <w:t>)</w:t>
      </w:r>
      <w:r w:rsidR="00EE5843">
        <w:t xml:space="preserve"> (see Assessment Brief #67)</w:t>
      </w:r>
      <w:r w:rsidR="00154371">
        <w:t>.</w:t>
      </w:r>
    </w:p>
    <w:p w:rsidR="009F7120" w:rsidRDefault="00022511" w:rsidP="00F5054C">
      <w:pPr>
        <w:pStyle w:val="ListParagraph"/>
        <w:numPr>
          <w:ilvl w:val="0"/>
          <w:numId w:val="101"/>
        </w:numPr>
      </w:pPr>
      <w:r w:rsidRPr="00980065">
        <w:rPr>
          <w:b/>
        </w:rPr>
        <w:t xml:space="preserve">Comparison </w:t>
      </w:r>
      <w:r w:rsidR="001A57D4" w:rsidRPr="00980065">
        <w:rPr>
          <w:b/>
        </w:rPr>
        <w:t xml:space="preserve">Study </w:t>
      </w:r>
      <w:r w:rsidRPr="00980065">
        <w:rPr>
          <w:b/>
        </w:rPr>
        <w:t>of Online versus Face-to-Face Versions of Same Course</w:t>
      </w:r>
      <w:r w:rsidR="00791377">
        <w:t>: CELTUA staff and faculty compared student perceptions of learning in fully online and face-to-face versions of three high</w:t>
      </w:r>
      <w:r w:rsidR="00A71DAA">
        <w:t>ly</w:t>
      </w:r>
      <w:r w:rsidR="00791377">
        <w:t xml:space="preserve"> </w:t>
      </w:r>
      <w:r w:rsidR="00A71DAA">
        <w:t>enrolled introductory courses (s</w:t>
      </w:r>
      <w:r w:rsidR="00C50EA5">
        <w:t>ee summary of e-learning c</w:t>
      </w:r>
      <w:r w:rsidR="00791377">
        <w:t>omparison</w:t>
      </w:r>
      <w:r w:rsidR="00A71DAA">
        <w:t>)</w:t>
      </w:r>
      <w:r w:rsidR="00791377">
        <w:t>.</w:t>
      </w:r>
    </w:p>
    <w:p w:rsidR="006C4318" w:rsidRPr="005B32D9" w:rsidRDefault="00A71DAA" w:rsidP="00F5054C">
      <w:pPr>
        <w:pStyle w:val="ListParagraph"/>
        <w:numPr>
          <w:ilvl w:val="0"/>
          <w:numId w:val="101"/>
        </w:numPr>
      </w:pPr>
      <w:r w:rsidRPr="00980065">
        <w:rPr>
          <w:b/>
        </w:rPr>
        <w:t xml:space="preserve">Information Literacy </w:t>
      </w:r>
      <w:r w:rsidR="006C4318" w:rsidRPr="00980065">
        <w:rPr>
          <w:b/>
        </w:rPr>
        <w:t>Project</w:t>
      </w:r>
      <w:r w:rsidR="005B32D9" w:rsidRPr="00980065">
        <w:rPr>
          <w:b/>
        </w:rPr>
        <w:t xml:space="preserve"> </w:t>
      </w:r>
      <w:r w:rsidR="005B32D9" w:rsidRPr="005B32D9">
        <w:t>assessed first-year students on their proficiency in this area (see Assessment Brief #72)</w:t>
      </w:r>
      <w:r w:rsidR="00154371">
        <w:t>.</w:t>
      </w:r>
    </w:p>
    <w:p w:rsidR="000B7FE4" w:rsidRDefault="000B7FE4" w:rsidP="00F5054C">
      <w:pPr>
        <w:pStyle w:val="ListParagraph"/>
        <w:numPr>
          <w:ilvl w:val="0"/>
          <w:numId w:val="101"/>
        </w:numPr>
      </w:pPr>
      <w:r w:rsidRPr="00980065">
        <w:rPr>
          <w:b/>
        </w:rPr>
        <w:t>Technological Self-Efficacy</w:t>
      </w:r>
      <w:r>
        <w:t xml:space="preserve"> </w:t>
      </w:r>
      <w:r w:rsidRPr="00980065">
        <w:rPr>
          <w:b/>
        </w:rPr>
        <w:t>Survey</w:t>
      </w:r>
      <w:r w:rsidR="00154371">
        <w:t xml:space="preserve"> was a</w:t>
      </w:r>
      <w:r>
        <w:t xml:space="preserve"> 2014 project administered by the University Libraries to assess students’ technological capacity (see Assessment Brief #84)</w:t>
      </w:r>
      <w:r w:rsidR="00154371">
        <w:t>.</w:t>
      </w:r>
    </w:p>
    <w:p w:rsidR="00D06AD1" w:rsidRPr="00D06AD1" w:rsidRDefault="00154371" w:rsidP="00F5054C">
      <w:pPr>
        <w:pStyle w:val="ListParagraph"/>
        <w:numPr>
          <w:ilvl w:val="0"/>
          <w:numId w:val="101"/>
        </w:numPr>
      </w:pPr>
      <w:r w:rsidRPr="00980065">
        <w:rPr>
          <w:b/>
        </w:rPr>
        <w:t>Quality Initiative Project</w:t>
      </w:r>
      <w:r w:rsidR="00D06AD1" w:rsidRPr="00D06AD1">
        <w:t xml:space="preserve"> is described in the narrative for Criterion 3A.</w:t>
      </w:r>
    </w:p>
    <w:p w:rsidR="008503B3" w:rsidRDefault="00591641" w:rsidP="009358FD">
      <w:pPr>
        <w:pStyle w:val="Heading4"/>
      </w:pPr>
      <w:r>
        <w:t>Degree Program</w:t>
      </w:r>
      <w:r w:rsidR="009358FD">
        <w:t xml:space="preserve"> Level</w:t>
      </w:r>
    </w:p>
    <w:p w:rsidR="00827178" w:rsidRDefault="00BF24B6" w:rsidP="00B41065">
      <w:r>
        <w:t>The 2005 Report of a Comprehensive Ev</w:t>
      </w:r>
      <w:r w:rsidR="007C65E0">
        <w:t>alu</w:t>
      </w:r>
      <w:r>
        <w:t xml:space="preserve">ation Visit to Miami University for the Higher Learning Commission, stated, </w:t>
      </w:r>
      <w:r w:rsidR="00827178">
        <w:t xml:space="preserve">“The integration and institutionalization of assessment </w:t>
      </w:r>
      <w:r>
        <w:t>of student learning was found to be primarily limited to those academic areas involved with professional accreditation.”</w:t>
      </w:r>
    </w:p>
    <w:p w:rsidR="00B41065" w:rsidRPr="00154371" w:rsidRDefault="00501FD5" w:rsidP="00154371">
      <w:r>
        <w:t>Given that the degree programs in professional schools already had assessment plans in place due to specialized a</w:t>
      </w:r>
      <w:r w:rsidR="00C91B71">
        <w:t>ccreditation requirements, the u</w:t>
      </w:r>
      <w:r>
        <w:t xml:space="preserve">niversity needed to find mechanisms to promote assessment in those degree programs without specialized accreditation. </w:t>
      </w:r>
      <w:r w:rsidR="00B41065" w:rsidRPr="00154371">
        <w:t>Beginning in 200</w:t>
      </w:r>
      <w:r w:rsidR="00C91B71">
        <w:t>5, the u</w:t>
      </w:r>
      <w:r w:rsidR="00A71DAA">
        <w:t xml:space="preserve">niversity </w:t>
      </w:r>
      <w:r>
        <w:t xml:space="preserve">launched the voluntary </w:t>
      </w:r>
      <w:r w:rsidR="00B41065" w:rsidRPr="00154371">
        <w:t>“Outcomes in the Major Project” w</w:t>
      </w:r>
      <w:r>
        <w:t xml:space="preserve">hich assisted </w:t>
      </w:r>
      <w:r w:rsidR="00C50EA5">
        <w:t>departments across the u</w:t>
      </w:r>
      <w:r w:rsidR="00B41065" w:rsidRPr="00154371">
        <w:t xml:space="preserve">niversity </w:t>
      </w:r>
      <w:r w:rsidR="00F72CCF">
        <w:t xml:space="preserve">with </w:t>
      </w:r>
      <w:r w:rsidR="00B41065" w:rsidRPr="00154371">
        <w:t xml:space="preserve">developing outcomes, </w:t>
      </w:r>
      <w:r w:rsidR="00C50EA5">
        <w:t xml:space="preserve">implementing </w:t>
      </w:r>
      <w:r w:rsidR="00B41065" w:rsidRPr="00154371">
        <w:t>assessment methods, and using findings to modify curricula.  For examples, see Assessment Brief #25.</w:t>
      </w:r>
    </w:p>
    <w:p w:rsidR="000E5FDD" w:rsidRDefault="000E5FDD" w:rsidP="005846DD">
      <w:r w:rsidRPr="000E5FDD">
        <w:t>In 2009, the College of Arts &amp; Science approved a requirement to develop writing outcomes and assessment plans for each of their majors and degree programs.  All assessment plans were required to include ongoing cycles of evaluation and refinement that enable</w:t>
      </w:r>
      <w:r w:rsidR="005C6D1F">
        <w:t>d</w:t>
      </w:r>
      <w:r w:rsidRPr="000E5FDD">
        <w:t xml:space="preserve"> each department or program to continuously improve the</w:t>
      </w:r>
      <w:r w:rsidR="00C50EA5">
        <w:t xml:space="preserve"> writing and overall </w:t>
      </w:r>
      <w:r w:rsidR="005C6D1F">
        <w:t>instruction it provided</w:t>
      </w:r>
      <w:r w:rsidRPr="000E5FDD">
        <w:t xml:space="preserve"> its students.</w:t>
      </w:r>
      <w:r>
        <w:t xml:space="preserve"> </w:t>
      </w:r>
      <w:r w:rsidR="005846DD">
        <w:t>The Howe Center for Writin</w:t>
      </w:r>
      <w:r w:rsidR="005C6D1F">
        <w:t>g Excellence offered</w:t>
      </w:r>
      <w:r w:rsidR="005846DD">
        <w:t xml:space="preserve"> consultations for plan development.  </w:t>
      </w:r>
    </w:p>
    <w:p w:rsidR="00B41065" w:rsidRDefault="00827178" w:rsidP="005C6D1F">
      <w:r>
        <w:t>The next significant step occurred in 2012 when the Provost Office began requiring all degree programs to develop plans for assessing student learning outcomes</w:t>
      </w:r>
      <w:r w:rsidR="00154BC8">
        <w:t xml:space="preserve"> (which</w:t>
      </w:r>
      <w:r w:rsidR="00C50EA5">
        <w:t xml:space="preserve"> needed to</w:t>
      </w:r>
      <w:r w:rsidR="00154BC8">
        <w:t xml:space="preserve"> include measurable outcomes, </w:t>
      </w:r>
      <w:r w:rsidR="005C6D1F">
        <w:t>an assessment method</w:t>
      </w:r>
      <w:r w:rsidR="00C97154">
        <w:t>, and a system</w:t>
      </w:r>
      <w:r w:rsidR="00154BC8">
        <w:t xml:space="preserve"> for analyzing and disseminating results) and </w:t>
      </w:r>
      <w:r w:rsidR="00F72CCF">
        <w:t xml:space="preserve">to submit </w:t>
      </w:r>
      <w:r w:rsidR="00154BC8">
        <w:t xml:space="preserve">annual assessment reports which </w:t>
      </w:r>
      <w:r w:rsidR="00154BC8">
        <w:lastRenderedPageBreak/>
        <w:t>summar</w:t>
      </w:r>
      <w:r w:rsidR="005C6D1F">
        <w:t>ize the data collected as well as strategies</w:t>
      </w:r>
      <w:r w:rsidR="00154BC8">
        <w:t xml:space="preserve"> for curricular improvement</w:t>
      </w:r>
      <w:r>
        <w:t>.  In collaboration with CELTUA, the Provost Office provided departments with templates for assessment plans</w:t>
      </w:r>
      <w:r w:rsidR="00FB17FB">
        <w:t xml:space="preserve"> and reports</w:t>
      </w:r>
      <w:r w:rsidR="00F72CCF">
        <w:t xml:space="preserve"> as well as consultations and workshops.</w:t>
      </w:r>
    </w:p>
    <w:p w:rsidR="00154BC8" w:rsidRDefault="00FF4096" w:rsidP="00B41065">
      <w:r>
        <w:t>As of</w:t>
      </w:r>
      <w:r w:rsidR="00154BC8">
        <w:t xml:space="preserve"> 2014, 100% of all degree programs </w:t>
      </w:r>
      <w:r w:rsidR="00737A77">
        <w:t xml:space="preserve">(which includes 14 certificates, 64 graduate programs, and 137 undergraduate programs) </w:t>
      </w:r>
      <w:r w:rsidR="00154BC8">
        <w:t>have assessment plans that have been reviewed by the CELTUA director</w:t>
      </w:r>
      <w:r w:rsidR="001139B5">
        <w:t xml:space="preserve">, with most also being reviewed by </w:t>
      </w:r>
      <w:r w:rsidR="00737A77">
        <w:t xml:space="preserve">the academic dean’s offices.  </w:t>
      </w:r>
    </w:p>
    <w:p w:rsidR="00B35A00" w:rsidRPr="00737A77" w:rsidRDefault="00B35A00" w:rsidP="00737A77">
      <w:r>
        <w:t xml:space="preserve">All academic units were asked to submit assessment reports or progress reports in May of 2014.  </w:t>
      </w:r>
    </w:p>
    <w:tbl>
      <w:tblPr>
        <w:tblStyle w:val="TableGrid"/>
        <w:tblW w:w="0" w:type="auto"/>
        <w:tblInd w:w="378" w:type="dxa"/>
        <w:tblLayout w:type="fixed"/>
        <w:tblLook w:val="04A0" w:firstRow="1" w:lastRow="0" w:firstColumn="1" w:lastColumn="0" w:noHBand="0" w:noVBand="1"/>
      </w:tblPr>
      <w:tblGrid>
        <w:gridCol w:w="1710"/>
        <w:gridCol w:w="1620"/>
        <w:gridCol w:w="1263"/>
        <w:gridCol w:w="1501"/>
        <w:gridCol w:w="1518"/>
        <w:gridCol w:w="2198"/>
      </w:tblGrid>
      <w:tr w:rsidR="00B35A00" w:rsidTr="003B69A5">
        <w:tc>
          <w:tcPr>
            <w:tcW w:w="1710" w:type="dxa"/>
            <w:tcBorders>
              <w:top w:val="single" w:sz="4" w:space="0" w:color="auto"/>
              <w:left w:val="single" w:sz="4" w:space="0" w:color="auto"/>
              <w:bottom w:val="single" w:sz="4" w:space="0" w:color="auto"/>
              <w:right w:val="single" w:sz="4" w:space="0" w:color="auto"/>
            </w:tcBorders>
            <w:hideMark/>
          </w:tcPr>
          <w:p w:rsidR="00B35A00" w:rsidRPr="00FB17FB" w:rsidRDefault="00B35A00" w:rsidP="00FB17FB">
            <w:pPr>
              <w:rPr>
                <w:rFonts w:asciiTheme="majorHAnsi" w:hAnsiTheme="majorHAnsi"/>
              </w:rPr>
            </w:pPr>
            <w:r w:rsidRPr="00FB17FB">
              <w:rPr>
                <w:rFonts w:asciiTheme="majorHAnsi" w:hAnsiTheme="majorHAnsi"/>
              </w:rPr>
              <w:t>Type of program</w:t>
            </w:r>
          </w:p>
        </w:tc>
        <w:tc>
          <w:tcPr>
            <w:tcW w:w="1620" w:type="dxa"/>
            <w:tcBorders>
              <w:top w:val="single" w:sz="4" w:space="0" w:color="auto"/>
              <w:left w:val="single" w:sz="4" w:space="0" w:color="auto"/>
              <w:bottom w:val="single" w:sz="4" w:space="0" w:color="auto"/>
              <w:right w:val="single" w:sz="4" w:space="0" w:color="auto"/>
            </w:tcBorders>
            <w:hideMark/>
          </w:tcPr>
          <w:p w:rsidR="00B35A00" w:rsidRPr="00FB17FB" w:rsidRDefault="00B35A00" w:rsidP="00FB17FB">
            <w:pPr>
              <w:rPr>
                <w:rFonts w:asciiTheme="majorHAnsi" w:hAnsiTheme="majorHAnsi"/>
              </w:rPr>
            </w:pPr>
            <w:r w:rsidRPr="00FB17FB">
              <w:rPr>
                <w:rFonts w:asciiTheme="majorHAnsi" w:hAnsiTheme="majorHAnsi"/>
              </w:rPr>
              <w:t xml:space="preserve">Not applicable (discontinued, or no students or key course not offered) </w:t>
            </w:r>
          </w:p>
        </w:tc>
        <w:tc>
          <w:tcPr>
            <w:tcW w:w="1263" w:type="dxa"/>
            <w:tcBorders>
              <w:top w:val="single" w:sz="4" w:space="0" w:color="auto"/>
              <w:left w:val="single" w:sz="4" w:space="0" w:color="auto"/>
              <w:bottom w:val="single" w:sz="4" w:space="0" w:color="auto"/>
              <w:right w:val="single" w:sz="4" w:space="0" w:color="auto"/>
            </w:tcBorders>
            <w:hideMark/>
          </w:tcPr>
          <w:p w:rsidR="00B35A00" w:rsidRPr="00FB17FB" w:rsidRDefault="00B35A00" w:rsidP="00FB17FB">
            <w:pPr>
              <w:rPr>
                <w:rFonts w:asciiTheme="majorHAnsi" w:hAnsiTheme="majorHAnsi"/>
              </w:rPr>
            </w:pPr>
            <w:r w:rsidRPr="00FB17FB">
              <w:rPr>
                <w:rFonts w:asciiTheme="majorHAnsi" w:hAnsiTheme="majorHAnsi"/>
              </w:rPr>
              <w:t>Did not provide a report</w:t>
            </w:r>
          </w:p>
        </w:tc>
        <w:tc>
          <w:tcPr>
            <w:tcW w:w="1501" w:type="dxa"/>
            <w:tcBorders>
              <w:top w:val="single" w:sz="4" w:space="0" w:color="auto"/>
              <w:left w:val="single" w:sz="4" w:space="0" w:color="auto"/>
              <w:bottom w:val="single" w:sz="4" w:space="0" w:color="auto"/>
              <w:right w:val="single" w:sz="4" w:space="0" w:color="auto"/>
            </w:tcBorders>
            <w:hideMark/>
          </w:tcPr>
          <w:p w:rsidR="00B35A00" w:rsidRPr="00FB17FB" w:rsidRDefault="003B69A5" w:rsidP="00FB17FB">
            <w:pPr>
              <w:rPr>
                <w:rFonts w:asciiTheme="majorHAnsi" w:hAnsiTheme="majorHAnsi"/>
              </w:rPr>
            </w:pPr>
            <w:r w:rsidRPr="00FB17FB">
              <w:rPr>
                <w:rFonts w:asciiTheme="majorHAnsi" w:hAnsiTheme="majorHAnsi"/>
              </w:rPr>
              <w:t>Have a progress report with data</w:t>
            </w:r>
          </w:p>
        </w:tc>
        <w:tc>
          <w:tcPr>
            <w:tcW w:w="1518" w:type="dxa"/>
            <w:tcBorders>
              <w:top w:val="single" w:sz="4" w:space="0" w:color="auto"/>
              <w:left w:val="single" w:sz="4" w:space="0" w:color="auto"/>
              <w:bottom w:val="single" w:sz="4" w:space="0" w:color="auto"/>
              <w:right w:val="single" w:sz="4" w:space="0" w:color="auto"/>
            </w:tcBorders>
            <w:hideMark/>
          </w:tcPr>
          <w:p w:rsidR="00B35A00" w:rsidRPr="00FB17FB" w:rsidRDefault="00B35A00" w:rsidP="00FB17FB">
            <w:pPr>
              <w:rPr>
                <w:rFonts w:asciiTheme="majorHAnsi" w:hAnsiTheme="majorHAnsi"/>
              </w:rPr>
            </w:pPr>
            <w:r w:rsidRPr="00FB17FB">
              <w:rPr>
                <w:rFonts w:asciiTheme="majorHAnsi" w:hAnsiTheme="majorHAnsi"/>
              </w:rPr>
              <w:t>Dat</w:t>
            </w:r>
            <w:r w:rsidR="003B69A5" w:rsidRPr="00FB17FB">
              <w:rPr>
                <w:rFonts w:asciiTheme="majorHAnsi" w:hAnsiTheme="majorHAnsi"/>
              </w:rPr>
              <w:t xml:space="preserve">a were collected and </w:t>
            </w:r>
            <w:r w:rsidRPr="00FB17FB">
              <w:rPr>
                <w:rFonts w:asciiTheme="majorHAnsi" w:hAnsiTheme="majorHAnsi"/>
              </w:rPr>
              <w:t xml:space="preserve">discussed with faculty </w:t>
            </w:r>
          </w:p>
        </w:tc>
        <w:tc>
          <w:tcPr>
            <w:tcW w:w="2198" w:type="dxa"/>
            <w:tcBorders>
              <w:top w:val="single" w:sz="4" w:space="0" w:color="auto"/>
              <w:left w:val="single" w:sz="4" w:space="0" w:color="auto"/>
              <w:bottom w:val="single" w:sz="4" w:space="0" w:color="auto"/>
              <w:right w:val="single" w:sz="4" w:space="0" w:color="auto"/>
            </w:tcBorders>
            <w:hideMark/>
          </w:tcPr>
          <w:p w:rsidR="00B35A00" w:rsidRPr="00FB17FB" w:rsidRDefault="00B35A00" w:rsidP="00FB17FB">
            <w:pPr>
              <w:rPr>
                <w:rFonts w:asciiTheme="majorHAnsi" w:hAnsiTheme="majorHAnsi"/>
              </w:rPr>
            </w:pPr>
            <w:r w:rsidRPr="00FB17FB">
              <w:rPr>
                <w:rFonts w:asciiTheme="majorHAnsi" w:hAnsiTheme="majorHAnsi"/>
              </w:rPr>
              <w:t>Total (applicable)</w:t>
            </w:r>
          </w:p>
        </w:tc>
      </w:tr>
      <w:tr w:rsidR="00B35A00" w:rsidTr="003B69A5">
        <w:tc>
          <w:tcPr>
            <w:tcW w:w="1710" w:type="dxa"/>
            <w:tcBorders>
              <w:top w:val="single" w:sz="4" w:space="0" w:color="auto"/>
              <w:left w:val="single" w:sz="4" w:space="0" w:color="auto"/>
              <w:bottom w:val="single" w:sz="4" w:space="0" w:color="auto"/>
              <w:right w:val="single" w:sz="4" w:space="0" w:color="auto"/>
            </w:tcBorders>
            <w:hideMark/>
          </w:tcPr>
          <w:p w:rsidR="00B35A00" w:rsidRPr="00FB17FB" w:rsidRDefault="003B69A5">
            <w:pPr>
              <w:rPr>
                <w:rFonts w:asciiTheme="majorHAnsi" w:hAnsiTheme="majorHAnsi"/>
              </w:rPr>
            </w:pPr>
            <w:r w:rsidRPr="00FB17FB">
              <w:rPr>
                <w:rFonts w:asciiTheme="majorHAnsi" w:hAnsiTheme="majorHAnsi"/>
              </w:rPr>
              <w:t>C</w:t>
            </w:r>
            <w:r w:rsidR="00B35A00" w:rsidRPr="00FB17FB">
              <w:rPr>
                <w:rFonts w:asciiTheme="majorHAnsi" w:hAnsiTheme="majorHAnsi"/>
              </w:rPr>
              <w:t>ertificate</w:t>
            </w:r>
          </w:p>
        </w:tc>
        <w:tc>
          <w:tcPr>
            <w:tcW w:w="1620" w:type="dxa"/>
            <w:tcBorders>
              <w:top w:val="single" w:sz="4" w:space="0" w:color="auto"/>
              <w:left w:val="single" w:sz="4" w:space="0" w:color="auto"/>
              <w:bottom w:val="single" w:sz="4" w:space="0" w:color="auto"/>
              <w:right w:val="single" w:sz="4" w:space="0" w:color="auto"/>
            </w:tcBorders>
            <w:hideMark/>
          </w:tcPr>
          <w:p w:rsidR="00B35A00" w:rsidRPr="00FB17FB" w:rsidRDefault="00B35A00">
            <w:pPr>
              <w:rPr>
                <w:rFonts w:asciiTheme="majorHAnsi" w:hAnsiTheme="majorHAnsi"/>
              </w:rPr>
            </w:pPr>
            <w:r w:rsidRPr="00FB17FB">
              <w:rPr>
                <w:rFonts w:asciiTheme="majorHAnsi" w:hAnsiTheme="majorHAnsi"/>
              </w:rPr>
              <w:t>4</w:t>
            </w:r>
          </w:p>
        </w:tc>
        <w:tc>
          <w:tcPr>
            <w:tcW w:w="1263" w:type="dxa"/>
            <w:tcBorders>
              <w:top w:val="single" w:sz="4" w:space="0" w:color="auto"/>
              <w:left w:val="single" w:sz="4" w:space="0" w:color="auto"/>
              <w:bottom w:val="single" w:sz="4" w:space="0" w:color="auto"/>
              <w:right w:val="single" w:sz="4" w:space="0" w:color="auto"/>
            </w:tcBorders>
            <w:hideMark/>
          </w:tcPr>
          <w:p w:rsidR="00B35A00" w:rsidRPr="00FB17FB" w:rsidRDefault="00B35A00">
            <w:pPr>
              <w:rPr>
                <w:rFonts w:asciiTheme="majorHAnsi" w:hAnsiTheme="majorHAnsi"/>
              </w:rPr>
            </w:pPr>
            <w:r w:rsidRPr="00FB17FB">
              <w:rPr>
                <w:rFonts w:asciiTheme="majorHAnsi" w:hAnsiTheme="majorHAnsi"/>
              </w:rPr>
              <w:t>4</w:t>
            </w:r>
          </w:p>
        </w:tc>
        <w:tc>
          <w:tcPr>
            <w:tcW w:w="1501" w:type="dxa"/>
            <w:tcBorders>
              <w:top w:val="single" w:sz="4" w:space="0" w:color="auto"/>
              <w:left w:val="single" w:sz="4" w:space="0" w:color="auto"/>
              <w:bottom w:val="single" w:sz="4" w:space="0" w:color="auto"/>
              <w:right w:val="single" w:sz="4" w:space="0" w:color="auto"/>
            </w:tcBorders>
            <w:hideMark/>
          </w:tcPr>
          <w:p w:rsidR="00B35A00" w:rsidRPr="00FB17FB" w:rsidRDefault="00B35A00">
            <w:pPr>
              <w:rPr>
                <w:rFonts w:asciiTheme="majorHAnsi" w:hAnsiTheme="majorHAnsi"/>
              </w:rPr>
            </w:pPr>
            <w:r w:rsidRPr="00FB17FB">
              <w:rPr>
                <w:rFonts w:asciiTheme="majorHAnsi" w:hAnsiTheme="majorHAnsi"/>
              </w:rPr>
              <w:t>2</w:t>
            </w:r>
          </w:p>
        </w:tc>
        <w:tc>
          <w:tcPr>
            <w:tcW w:w="1518" w:type="dxa"/>
            <w:tcBorders>
              <w:top w:val="single" w:sz="4" w:space="0" w:color="auto"/>
              <w:left w:val="single" w:sz="4" w:space="0" w:color="auto"/>
              <w:bottom w:val="single" w:sz="4" w:space="0" w:color="auto"/>
              <w:right w:val="single" w:sz="4" w:space="0" w:color="auto"/>
            </w:tcBorders>
            <w:hideMark/>
          </w:tcPr>
          <w:p w:rsidR="00B35A00" w:rsidRPr="00FB17FB" w:rsidRDefault="00B35A00">
            <w:pPr>
              <w:rPr>
                <w:rFonts w:asciiTheme="majorHAnsi" w:hAnsiTheme="majorHAnsi"/>
              </w:rPr>
            </w:pPr>
            <w:r w:rsidRPr="00FB17FB">
              <w:rPr>
                <w:rFonts w:asciiTheme="majorHAnsi" w:hAnsiTheme="majorHAnsi"/>
              </w:rPr>
              <w:t>5</w:t>
            </w:r>
          </w:p>
        </w:tc>
        <w:tc>
          <w:tcPr>
            <w:tcW w:w="2198" w:type="dxa"/>
            <w:tcBorders>
              <w:top w:val="single" w:sz="4" w:space="0" w:color="auto"/>
              <w:left w:val="single" w:sz="4" w:space="0" w:color="auto"/>
              <w:bottom w:val="single" w:sz="4" w:space="0" w:color="auto"/>
              <w:right w:val="single" w:sz="4" w:space="0" w:color="auto"/>
            </w:tcBorders>
            <w:hideMark/>
          </w:tcPr>
          <w:p w:rsidR="00B35A00" w:rsidRPr="00FB17FB" w:rsidRDefault="00B35A00">
            <w:pPr>
              <w:rPr>
                <w:rFonts w:asciiTheme="majorHAnsi" w:hAnsiTheme="majorHAnsi"/>
              </w:rPr>
            </w:pPr>
            <w:r w:rsidRPr="00FB17FB">
              <w:rPr>
                <w:rFonts w:asciiTheme="majorHAnsi" w:hAnsiTheme="majorHAnsi"/>
              </w:rPr>
              <w:t>15 (11)</w:t>
            </w:r>
          </w:p>
        </w:tc>
      </w:tr>
      <w:tr w:rsidR="00B35A00" w:rsidTr="003B69A5">
        <w:tc>
          <w:tcPr>
            <w:tcW w:w="1710" w:type="dxa"/>
            <w:tcBorders>
              <w:top w:val="single" w:sz="4" w:space="0" w:color="auto"/>
              <w:left w:val="single" w:sz="4" w:space="0" w:color="auto"/>
              <w:bottom w:val="single" w:sz="4" w:space="0" w:color="auto"/>
              <w:right w:val="single" w:sz="4" w:space="0" w:color="auto"/>
            </w:tcBorders>
            <w:hideMark/>
          </w:tcPr>
          <w:p w:rsidR="00B35A00" w:rsidRPr="00FB17FB" w:rsidRDefault="00B35A00">
            <w:pPr>
              <w:rPr>
                <w:rFonts w:asciiTheme="majorHAnsi" w:hAnsiTheme="majorHAnsi"/>
              </w:rPr>
            </w:pPr>
            <w:r w:rsidRPr="00FB17FB">
              <w:rPr>
                <w:rFonts w:asciiTheme="majorHAnsi" w:hAnsiTheme="majorHAnsi"/>
              </w:rPr>
              <w:t xml:space="preserve">Graduate </w:t>
            </w:r>
          </w:p>
        </w:tc>
        <w:tc>
          <w:tcPr>
            <w:tcW w:w="1620" w:type="dxa"/>
            <w:tcBorders>
              <w:top w:val="single" w:sz="4" w:space="0" w:color="auto"/>
              <w:left w:val="single" w:sz="4" w:space="0" w:color="auto"/>
              <w:bottom w:val="single" w:sz="4" w:space="0" w:color="auto"/>
              <w:right w:val="single" w:sz="4" w:space="0" w:color="auto"/>
            </w:tcBorders>
            <w:hideMark/>
          </w:tcPr>
          <w:p w:rsidR="00B35A00" w:rsidRPr="00FB17FB" w:rsidRDefault="00B35A00">
            <w:pPr>
              <w:rPr>
                <w:rFonts w:asciiTheme="majorHAnsi" w:hAnsiTheme="majorHAnsi"/>
              </w:rPr>
            </w:pPr>
            <w:r w:rsidRPr="00FB17FB">
              <w:rPr>
                <w:rFonts w:asciiTheme="majorHAnsi" w:hAnsiTheme="majorHAnsi"/>
              </w:rPr>
              <w:t>1</w:t>
            </w:r>
          </w:p>
        </w:tc>
        <w:tc>
          <w:tcPr>
            <w:tcW w:w="1263" w:type="dxa"/>
            <w:tcBorders>
              <w:top w:val="single" w:sz="4" w:space="0" w:color="auto"/>
              <w:left w:val="single" w:sz="4" w:space="0" w:color="auto"/>
              <w:bottom w:val="single" w:sz="4" w:space="0" w:color="auto"/>
              <w:right w:val="single" w:sz="4" w:space="0" w:color="auto"/>
            </w:tcBorders>
            <w:hideMark/>
          </w:tcPr>
          <w:p w:rsidR="00B35A00" w:rsidRPr="00FB17FB" w:rsidRDefault="00B35A00">
            <w:pPr>
              <w:rPr>
                <w:rFonts w:asciiTheme="majorHAnsi" w:hAnsiTheme="majorHAnsi"/>
              </w:rPr>
            </w:pPr>
            <w:r w:rsidRPr="00FB17FB">
              <w:rPr>
                <w:rFonts w:asciiTheme="majorHAnsi" w:hAnsiTheme="majorHAnsi"/>
              </w:rPr>
              <w:t>26</w:t>
            </w:r>
          </w:p>
        </w:tc>
        <w:tc>
          <w:tcPr>
            <w:tcW w:w="1501" w:type="dxa"/>
            <w:tcBorders>
              <w:top w:val="single" w:sz="4" w:space="0" w:color="auto"/>
              <w:left w:val="single" w:sz="4" w:space="0" w:color="auto"/>
              <w:bottom w:val="single" w:sz="4" w:space="0" w:color="auto"/>
              <w:right w:val="single" w:sz="4" w:space="0" w:color="auto"/>
            </w:tcBorders>
            <w:hideMark/>
          </w:tcPr>
          <w:p w:rsidR="00B35A00" w:rsidRPr="00FB17FB" w:rsidRDefault="00B35A00">
            <w:pPr>
              <w:rPr>
                <w:rFonts w:asciiTheme="majorHAnsi" w:hAnsiTheme="majorHAnsi"/>
              </w:rPr>
            </w:pPr>
            <w:r w:rsidRPr="00FB17FB">
              <w:rPr>
                <w:rFonts w:asciiTheme="majorHAnsi" w:hAnsiTheme="majorHAnsi"/>
              </w:rPr>
              <w:t>29</w:t>
            </w:r>
          </w:p>
        </w:tc>
        <w:tc>
          <w:tcPr>
            <w:tcW w:w="1518" w:type="dxa"/>
            <w:tcBorders>
              <w:top w:val="single" w:sz="4" w:space="0" w:color="auto"/>
              <w:left w:val="single" w:sz="4" w:space="0" w:color="auto"/>
              <w:bottom w:val="single" w:sz="4" w:space="0" w:color="auto"/>
              <w:right w:val="single" w:sz="4" w:space="0" w:color="auto"/>
            </w:tcBorders>
            <w:hideMark/>
          </w:tcPr>
          <w:p w:rsidR="00B35A00" w:rsidRPr="00FB17FB" w:rsidRDefault="00B35A00">
            <w:pPr>
              <w:rPr>
                <w:rFonts w:asciiTheme="majorHAnsi" w:hAnsiTheme="majorHAnsi"/>
              </w:rPr>
            </w:pPr>
            <w:r w:rsidRPr="00FB17FB">
              <w:rPr>
                <w:rFonts w:asciiTheme="majorHAnsi" w:hAnsiTheme="majorHAnsi"/>
              </w:rPr>
              <w:t>15</w:t>
            </w:r>
          </w:p>
        </w:tc>
        <w:tc>
          <w:tcPr>
            <w:tcW w:w="2198" w:type="dxa"/>
            <w:tcBorders>
              <w:top w:val="single" w:sz="4" w:space="0" w:color="auto"/>
              <w:left w:val="single" w:sz="4" w:space="0" w:color="auto"/>
              <w:bottom w:val="single" w:sz="4" w:space="0" w:color="auto"/>
              <w:right w:val="single" w:sz="4" w:space="0" w:color="auto"/>
            </w:tcBorders>
            <w:hideMark/>
          </w:tcPr>
          <w:p w:rsidR="00B35A00" w:rsidRPr="00FB17FB" w:rsidRDefault="00B35A00">
            <w:pPr>
              <w:rPr>
                <w:rFonts w:asciiTheme="majorHAnsi" w:hAnsiTheme="majorHAnsi"/>
              </w:rPr>
            </w:pPr>
            <w:r w:rsidRPr="00FB17FB">
              <w:rPr>
                <w:rFonts w:asciiTheme="majorHAnsi" w:hAnsiTheme="majorHAnsi"/>
              </w:rPr>
              <w:t>71 (70)</w:t>
            </w:r>
          </w:p>
        </w:tc>
      </w:tr>
      <w:tr w:rsidR="00B35A00" w:rsidTr="003B69A5">
        <w:tc>
          <w:tcPr>
            <w:tcW w:w="1710" w:type="dxa"/>
            <w:tcBorders>
              <w:top w:val="single" w:sz="4" w:space="0" w:color="auto"/>
              <w:left w:val="single" w:sz="4" w:space="0" w:color="auto"/>
              <w:bottom w:val="single" w:sz="4" w:space="0" w:color="auto"/>
              <w:right w:val="single" w:sz="4" w:space="0" w:color="auto"/>
            </w:tcBorders>
            <w:hideMark/>
          </w:tcPr>
          <w:p w:rsidR="00B35A00" w:rsidRPr="00FB17FB" w:rsidRDefault="003B69A5">
            <w:pPr>
              <w:rPr>
                <w:rFonts w:asciiTheme="majorHAnsi" w:hAnsiTheme="majorHAnsi"/>
              </w:rPr>
            </w:pPr>
            <w:r w:rsidRPr="00FB17FB">
              <w:rPr>
                <w:rFonts w:asciiTheme="majorHAnsi" w:hAnsiTheme="majorHAnsi"/>
              </w:rPr>
              <w:t>U</w:t>
            </w:r>
            <w:r w:rsidR="00B35A00" w:rsidRPr="00FB17FB">
              <w:rPr>
                <w:rFonts w:asciiTheme="majorHAnsi" w:hAnsiTheme="majorHAnsi"/>
              </w:rPr>
              <w:t>ndergraduate</w:t>
            </w:r>
          </w:p>
        </w:tc>
        <w:tc>
          <w:tcPr>
            <w:tcW w:w="1620" w:type="dxa"/>
            <w:tcBorders>
              <w:top w:val="single" w:sz="4" w:space="0" w:color="auto"/>
              <w:left w:val="single" w:sz="4" w:space="0" w:color="auto"/>
              <w:bottom w:val="single" w:sz="4" w:space="0" w:color="auto"/>
              <w:right w:val="single" w:sz="4" w:space="0" w:color="auto"/>
            </w:tcBorders>
            <w:hideMark/>
          </w:tcPr>
          <w:p w:rsidR="00B35A00" w:rsidRPr="00FB17FB" w:rsidRDefault="00B35A00">
            <w:pPr>
              <w:rPr>
                <w:rFonts w:asciiTheme="majorHAnsi" w:hAnsiTheme="majorHAnsi"/>
              </w:rPr>
            </w:pPr>
            <w:r w:rsidRPr="00FB17FB">
              <w:rPr>
                <w:rFonts w:asciiTheme="majorHAnsi" w:hAnsiTheme="majorHAnsi"/>
              </w:rPr>
              <w:t>1</w:t>
            </w:r>
          </w:p>
        </w:tc>
        <w:tc>
          <w:tcPr>
            <w:tcW w:w="1263" w:type="dxa"/>
            <w:tcBorders>
              <w:top w:val="single" w:sz="4" w:space="0" w:color="auto"/>
              <w:left w:val="single" w:sz="4" w:space="0" w:color="auto"/>
              <w:bottom w:val="single" w:sz="4" w:space="0" w:color="auto"/>
              <w:right w:val="single" w:sz="4" w:space="0" w:color="auto"/>
            </w:tcBorders>
            <w:hideMark/>
          </w:tcPr>
          <w:p w:rsidR="00B35A00" w:rsidRPr="00FB17FB" w:rsidRDefault="00B35A00">
            <w:pPr>
              <w:rPr>
                <w:rFonts w:asciiTheme="majorHAnsi" w:hAnsiTheme="majorHAnsi"/>
              </w:rPr>
            </w:pPr>
            <w:r w:rsidRPr="00FB17FB">
              <w:rPr>
                <w:rFonts w:asciiTheme="majorHAnsi" w:hAnsiTheme="majorHAnsi"/>
              </w:rPr>
              <w:t>66</w:t>
            </w:r>
          </w:p>
        </w:tc>
        <w:tc>
          <w:tcPr>
            <w:tcW w:w="1501" w:type="dxa"/>
            <w:tcBorders>
              <w:top w:val="single" w:sz="4" w:space="0" w:color="auto"/>
              <w:left w:val="single" w:sz="4" w:space="0" w:color="auto"/>
              <w:bottom w:val="single" w:sz="4" w:space="0" w:color="auto"/>
              <w:right w:val="single" w:sz="4" w:space="0" w:color="auto"/>
            </w:tcBorders>
            <w:hideMark/>
          </w:tcPr>
          <w:p w:rsidR="00B35A00" w:rsidRPr="00FB17FB" w:rsidRDefault="00B35A00">
            <w:pPr>
              <w:rPr>
                <w:rFonts w:asciiTheme="majorHAnsi" w:hAnsiTheme="majorHAnsi"/>
              </w:rPr>
            </w:pPr>
            <w:r w:rsidRPr="00FB17FB">
              <w:rPr>
                <w:rFonts w:asciiTheme="majorHAnsi" w:hAnsiTheme="majorHAnsi"/>
              </w:rPr>
              <w:t>27</w:t>
            </w:r>
          </w:p>
        </w:tc>
        <w:tc>
          <w:tcPr>
            <w:tcW w:w="1518" w:type="dxa"/>
            <w:tcBorders>
              <w:top w:val="single" w:sz="4" w:space="0" w:color="auto"/>
              <w:left w:val="single" w:sz="4" w:space="0" w:color="auto"/>
              <w:bottom w:val="single" w:sz="4" w:space="0" w:color="auto"/>
              <w:right w:val="single" w:sz="4" w:space="0" w:color="auto"/>
            </w:tcBorders>
            <w:hideMark/>
          </w:tcPr>
          <w:p w:rsidR="00B35A00" w:rsidRPr="00FB17FB" w:rsidRDefault="00B35A00">
            <w:pPr>
              <w:rPr>
                <w:rFonts w:asciiTheme="majorHAnsi" w:hAnsiTheme="majorHAnsi"/>
              </w:rPr>
            </w:pPr>
            <w:r w:rsidRPr="00FB17FB">
              <w:rPr>
                <w:rFonts w:asciiTheme="majorHAnsi" w:hAnsiTheme="majorHAnsi"/>
              </w:rPr>
              <w:t>43</w:t>
            </w:r>
          </w:p>
        </w:tc>
        <w:tc>
          <w:tcPr>
            <w:tcW w:w="2198" w:type="dxa"/>
            <w:tcBorders>
              <w:top w:val="single" w:sz="4" w:space="0" w:color="auto"/>
              <w:left w:val="single" w:sz="4" w:space="0" w:color="auto"/>
              <w:bottom w:val="single" w:sz="4" w:space="0" w:color="auto"/>
              <w:right w:val="single" w:sz="4" w:space="0" w:color="auto"/>
            </w:tcBorders>
            <w:hideMark/>
          </w:tcPr>
          <w:p w:rsidR="00B35A00" w:rsidRPr="00FB17FB" w:rsidRDefault="00B35A00">
            <w:pPr>
              <w:rPr>
                <w:rFonts w:asciiTheme="majorHAnsi" w:hAnsiTheme="majorHAnsi"/>
              </w:rPr>
            </w:pPr>
            <w:r w:rsidRPr="00FB17FB">
              <w:rPr>
                <w:rFonts w:asciiTheme="majorHAnsi" w:hAnsiTheme="majorHAnsi"/>
              </w:rPr>
              <w:t>137</w:t>
            </w:r>
            <w:r w:rsidR="001139B5" w:rsidRPr="00FB17FB">
              <w:rPr>
                <w:rFonts w:asciiTheme="majorHAnsi" w:hAnsiTheme="majorHAnsi"/>
              </w:rPr>
              <w:t xml:space="preserve"> </w:t>
            </w:r>
            <w:r w:rsidRPr="00FB17FB">
              <w:rPr>
                <w:rFonts w:asciiTheme="majorHAnsi" w:hAnsiTheme="majorHAnsi"/>
              </w:rPr>
              <w:t>(136)</w:t>
            </w:r>
          </w:p>
        </w:tc>
      </w:tr>
      <w:tr w:rsidR="00B35A00" w:rsidTr="003B69A5">
        <w:tc>
          <w:tcPr>
            <w:tcW w:w="1710" w:type="dxa"/>
            <w:tcBorders>
              <w:top w:val="single" w:sz="4" w:space="0" w:color="auto"/>
              <w:left w:val="single" w:sz="4" w:space="0" w:color="auto"/>
              <w:bottom w:val="single" w:sz="4" w:space="0" w:color="auto"/>
              <w:right w:val="single" w:sz="4" w:space="0" w:color="auto"/>
            </w:tcBorders>
            <w:hideMark/>
          </w:tcPr>
          <w:p w:rsidR="00B35A00" w:rsidRPr="00FB17FB" w:rsidRDefault="003B69A5">
            <w:pPr>
              <w:rPr>
                <w:rFonts w:asciiTheme="majorHAnsi" w:hAnsiTheme="majorHAnsi"/>
              </w:rPr>
            </w:pPr>
            <w:r w:rsidRPr="00FB17FB">
              <w:rPr>
                <w:rFonts w:asciiTheme="majorHAnsi" w:hAnsiTheme="majorHAnsi"/>
              </w:rPr>
              <w:t>T</w:t>
            </w:r>
            <w:r w:rsidR="00B35A00" w:rsidRPr="00FB17FB">
              <w:rPr>
                <w:rFonts w:asciiTheme="majorHAnsi" w:hAnsiTheme="majorHAnsi"/>
              </w:rPr>
              <w:t>otal</w:t>
            </w:r>
          </w:p>
        </w:tc>
        <w:tc>
          <w:tcPr>
            <w:tcW w:w="1620" w:type="dxa"/>
            <w:tcBorders>
              <w:top w:val="single" w:sz="4" w:space="0" w:color="auto"/>
              <w:left w:val="single" w:sz="4" w:space="0" w:color="auto"/>
              <w:bottom w:val="single" w:sz="4" w:space="0" w:color="auto"/>
              <w:right w:val="single" w:sz="4" w:space="0" w:color="auto"/>
            </w:tcBorders>
            <w:hideMark/>
          </w:tcPr>
          <w:p w:rsidR="00B35A00" w:rsidRPr="00FB17FB" w:rsidRDefault="00B35A00">
            <w:pPr>
              <w:rPr>
                <w:rFonts w:asciiTheme="majorHAnsi" w:hAnsiTheme="majorHAnsi"/>
              </w:rPr>
            </w:pPr>
            <w:r w:rsidRPr="00FB17FB">
              <w:rPr>
                <w:rFonts w:asciiTheme="majorHAnsi" w:hAnsiTheme="majorHAnsi"/>
              </w:rPr>
              <w:t>6</w:t>
            </w:r>
          </w:p>
        </w:tc>
        <w:tc>
          <w:tcPr>
            <w:tcW w:w="1263" w:type="dxa"/>
            <w:tcBorders>
              <w:top w:val="single" w:sz="4" w:space="0" w:color="auto"/>
              <w:left w:val="single" w:sz="4" w:space="0" w:color="auto"/>
              <w:bottom w:val="single" w:sz="4" w:space="0" w:color="auto"/>
              <w:right w:val="single" w:sz="4" w:space="0" w:color="auto"/>
            </w:tcBorders>
            <w:hideMark/>
          </w:tcPr>
          <w:p w:rsidR="00B35A00" w:rsidRPr="00FB17FB" w:rsidRDefault="00B35A00">
            <w:pPr>
              <w:rPr>
                <w:rFonts w:asciiTheme="majorHAnsi" w:hAnsiTheme="majorHAnsi"/>
              </w:rPr>
            </w:pPr>
            <w:r w:rsidRPr="00FB17FB">
              <w:rPr>
                <w:rFonts w:asciiTheme="majorHAnsi" w:hAnsiTheme="majorHAnsi"/>
              </w:rPr>
              <w:t>96</w:t>
            </w:r>
          </w:p>
        </w:tc>
        <w:tc>
          <w:tcPr>
            <w:tcW w:w="1501" w:type="dxa"/>
            <w:tcBorders>
              <w:top w:val="single" w:sz="4" w:space="0" w:color="auto"/>
              <w:left w:val="single" w:sz="4" w:space="0" w:color="auto"/>
              <w:bottom w:val="single" w:sz="4" w:space="0" w:color="auto"/>
              <w:right w:val="single" w:sz="4" w:space="0" w:color="auto"/>
            </w:tcBorders>
            <w:hideMark/>
          </w:tcPr>
          <w:p w:rsidR="00B35A00" w:rsidRPr="00FB17FB" w:rsidRDefault="00B35A00">
            <w:pPr>
              <w:rPr>
                <w:rFonts w:asciiTheme="majorHAnsi" w:hAnsiTheme="majorHAnsi"/>
              </w:rPr>
            </w:pPr>
            <w:r w:rsidRPr="00FB17FB">
              <w:rPr>
                <w:rFonts w:asciiTheme="majorHAnsi" w:hAnsiTheme="majorHAnsi"/>
              </w:rPr>
              <w:t>58</w:t>
            </w:r>
          </w:p>
        </w:tc>
        <w:tc>
          <w:tcPr>
            <w:tcW w:w="1518" w:type="dxa"/>
            <w:tcBorders>
              <w:top w:val="single" w:sz="4" w:space="0" w:color="auto"/>
              <w:left w:val="single" w:sz="4" w:space="0" w:color="auto"/>
              <w:bottom w:val="single" w:sz="4" w:space="0" w:color="auto"/>
              <w:right w:val="single" w:sz="4" w:space="0" w:color="auto"/>
            </w:tcBorders>
            <w:hideMark/>
          </w:tcPr>
          <w:p w:rsidR="00B35A00" w:rsidRPr="00FB17FB" w:rsidRDefault="00B35A00">
            <w:pPr>
              <w:rPr>
                <w:rFonts w:asciiTheme="majorHAnsi" w:hAnsiTheme="majorHAnsi"/>
              </w:rPr>
            </w:pPr>
            <w:r w:rsidRPr="00FB17FB">
              <w:rPr>
                <w:rFonts w:asciiTheme="majorHAnsi" w:hAnsiTheme="majorHAnsi"/>
              </w:rPr>
              <w:t>63</w:t>
            </w:r>
          </w:p>
        </w:tc>
        <w:tc>
          <w:tcPr>
            <w:tcW w:w="2198" w:type="dxa"/>
            <w:tcBorders>
              <w:top w:val="single" w:sz="4" w:space="0" w:color="auto"/>
              <w:left w:val="single" w:sz="4" w:space="0" w:color="auto"/>
              <w:bottom w:val="single" w:sz="4" w:space="0" w:color="auto"/>
              <w:right w:val="single" w:sz="4" w:space="0" w:color="auto"/>
            </w:tcBorders>
            <w:hideMark/>
          </w:tcPr>
          <w:p w:rsidR="00B35A00" w:rsidRPr="00FB17FB" w:rsidRDefault="005B202F" w:rsidP="005B202F">
            <w:pPr>
              <w:jc w:val="both"/>
              <w:rPr>
                <w:rFonts w:asciiTheme="majorHAnsi" w:hAnsiTheme="majorHAnsi"/>
              </w:rPr>
            </w:pPr>
            <w:r w:rsidRPr="00FB17FB">
              <w:rPr>
                <w:rFonts w:asciiTheme="majorHAnsi" w:hAnsiTheme="majorHAnsi"/>
              </w:rPr>
              <w:t>223</w:t>
            </w:r>
            <w:r w:rsidR="001139B5" w:rsidRPr="00FB17FB">
              <w:rPr>
                <w:rFonts w:asciiTheme="majorHAnsi" w:hAnsiTheme="majorHAnsi"/>
              </w:rPr>
              <w:t xml:space="preserve"> </w:t>
            </w:r>
            <w:r w:rsidRPr="00FB17FB">
              <w:rPr>
                <w:rFonts w:asciiTheme="majorHAnsi" w:hAnsiTheme="majorHAnsi"/>
              </w:rPr>
              <w:t>(217</w:t>
            </w:r>
            <w:r w:rsidR="00B35A00" w:rsidRPr="00FB17FB">
              <w:rPr>
                <w:rFonts w:asciiTheme="majorHAnsi" w:hAnsiTheme="majorHAnsi"/>
              </w:rPr>
              <w:t>)</w:t>
            </w:r>
          </w:p>
        </w:tc>
      </w:tr>
    </w:tbl>
    <w:p w:rsidR="00737A77" w:rsidRDefault="00737A77" w:rsidP="00737A77"/>
    <w:p w:rsidR="00B35A00" w:rsidRDefault="00737A77" w:rsidP="00737A77">
      <w:r>
        <w:t xml:space="preserve">By May 2014, </w:t>
      </w:r>
      <w:r w:rsidR="00B35A00">
        <w:t>64% of the certificate programs, 63% of the graduate programs, and 51% percent of t</w:t>
      </w:r>
      <w:r>
        <w:t xml:space="preserve">he undergraduate programs </w:t>
      </w:r>
      <w:r w:rsidR="00B35A00">
        <w:t>submitted assessment r</w:t>
      </w:r>
      <w:r w:rsidR="00FB17FB">
        <w:t>eports indicating that data have been</w:t>
      </w:r>
      <w:r w:rsidR="00B35A00">
        <w:t xml:space="preserve"> </w:t>
      </w:r>
      <w:r w:rsidR="00FB17FB">
        <w:t>collected data and discussed</w:t>
      </w:r>
      <w:r w:rsidR="00B35A00">
        <w:t>.  Several of the report</w:t>
      </w:r>
      <w:r>
        <w:t>s</w:t>
      </w:r>
      <w:r w:rsidR="00B35A00">
        <w:t xml:space="preserve"> s</w:t>
      </w:r>
      <w:r w:rsidR="00FB17FB">
        <w:t>pontaneously indicated that faculty</w:t>
      </w:r>
      <w:r w:rsidR="00590A0A">
        <w:t xml:space="preserve"> members</w:t>
      </w:r>
      <w:r w:rsidR="00B35A00">
        <w:t xml:space="preserve"> were finding the assessment process useful in learning about their students’ achievement and thinking about</w:t>
      </w:r>
      <w:r w:rsidR="00FB17FB">
        <w:t xml:space="preserve"> how to fine-tune curricula and the</w:t>
      </w:r>
      <w:r w:rsidR="00B35A00">
        <w:t xml:space="preserve"> assessment process.  </w:t>
      </w:r>
    </w:p>
    <w:p w:rsidR="00591641" w:rsidRDefault="009358FD" w:rsidP="009358FD">
      <w:pPr>
        <w:pStyle w:val="Heading4"/>
      </w:pPr>
      <w:r>
        <w:t>Course Level</w:t>
      </w:r>
    </w:p>
    <w:p w:rsidR="00B35A00" w:rsidRDefault="00B975DD" w:rsidP="00591641">
      <w:r>
        <w:t xml:space="preserve">In 2009, University Senate approved a resolution </w:t>
      </w:r>
      <w:r w:rsidR="0091207A">
        <w:t>to revise</w:t>
      </w:r>
      <w:r>
        <w:t xml:space="preserve"> the new course approval process to </w:t>
      </w:r>
      <w:r w:rsidR="0091207A">
        <w:t>include</w:t>
      </w:r>
      <w:r>
        <w:t xml:space="preserve"> st</w:t>
      </w:r>
      <w:r w:rsidR="0091207A">
        <w:t>udent learning outcomes</w:t>
      </w:r>
      <w:r w:rsidR="009D4433">
        <w:t xml:space="preserve"> which are aligned with degree program outcomes</w:t>
      </w:r>
      <w:r>
        <w:t>. The resolut</w:t>
      </w:r>
      <w:r w:rsidR="0091207A">
        <w:t>ion also included the provision that results of course- and program-level</w:t>
      </w:r>
      <w:r>
        <w:t xml:space="preserve"> </w:t>
      </w:r>
      <w:r w:rsidR="0091207A">
        <w:t xml:space="preserve">assessment would be included in </w:t>
      </w:r>
      <w:r w:rsidR="00C97154">
        <w:t>academic program r</w:t>
      </w:r>
      <w:r>
        <w:t xml:space="preserve">eview. </w:t>
      </w:r>
      <w:r w:rsidR="0091207A">
        <w:t>This resolution led to the revision of the new course proposals forms and enhanced support</w:t>
      </w:r>
      <w:r w:rsidR="006C4318">
        <w:t xml:space="preserve"> from CELTUA to assist</w:t>
      </w:r>
      <w:r w:rsidR="0091207A">
        <w:t xml:space="preserve"> faculty</w:t>
      </w:r>
      <w:r w:rsidR="006C4318">
        <w:t xml:space="preserve"> in designing learning outcomes</w:t>
      </w:r>
      <w:r>
        <w:t xml:space="preserve"> (see </w:t>
      </w:r>
      <w:r w:rsidR="000C2483">
        <w:t>Assessment Brief #50</w:t>
      </w:r>
      <w:r w:rsidR="006C4318">
        <w:t>).</w:t>
      </w:r>
    </w:p>
    <w:p w:rsidR="009D4433" w:rsidRDefault="009D4433" w:rsidP="00591641">
      <w:r>
        <w:t xml:space="preserve">In 2013-2014, the dossier guidelines for promotion of tenure-track and tenured faculty and for LCPL faculty were revised to incorporate recognition of significant assessment activity, and in 2014, assessment of student learning </w:t>
      </w:r>
      <w:r w:rsidR="00F125DE">
        <w:t>was</w:t>
      </w:r>
      <w:r w:rsidR="00C97154">
        <w:t xml:space="preserve"> included in the newly revised academic program r</w:t>
      </w:r>
      <w:r w:rsidR="00F125DE">
        <w:t>eview guidelines.</w:t>
      </w:r>
    </w:p>
    <w:p w:rsidR="00E123A8" w:rsidRPr="00E123A8" w:rsidRDefault="00E123A8" w:rsidP="0050107B">
      <w:pPr>
        <w:rPr>
          <w:b/>
        </w:rPr>
      </w:pPr>
      <w:r w:rsidRPr="00E123A8">
        <w:rPr>
          <w:b/>
        </w:rPr>
        <w:t>Next Steps</w:t>
      </w:r>
      <w:r>
        <w:rPr>
          <w:b/>
        </w:rPr>
        <w:t xml:space="preserve"> to Advance Assessment at Miami</w:t>
      </w:r>
    </w:p>
    <w:p w:rsidR="00AE65DA" w:rsidRDefault="00F125DE" w:rsidP="00AE65DA">
      <w:r>
        <w:t xml:space="preserve">Because the requirement for all degree programs to complete assessment plans and annual reports is relatively new, </w:t>
      </w:r>
      <w:r w:rsidR="0050107B">
        <w:t xml:space="preserve">use of </w:t>
      </w:r>
      <w:r w:rsidR="00712976">
        <w:t xml:space="preserve">department-level </w:t>
      </w:r>
      <w:r w:rsidR="0050107B">
        <w:t>assessment data for imp</w:t>
      </w:r>
      <w:r w:rsidR="00712976">
        <w:t>rovement</w:t>
      </w:r>
      <w:r w:rsidR="0050107B">
        <w:t xml:space="preserve"> is in the early stages of development.  In addition, because the previous Global Miami Plan</w:t>
      </w:r>
      <w:r w:rsidR="0022245F">
        <w:t xml:space="preserve"> only advanced broad goals and </w:t>
      </w:r>
      <w:r w:rsidR="0050107B">
        <w:t>did not include measurable student learning outcom</w:t>
      </w:r>
      <w:r w:rsidR="0022245F">
        <w:t>es that were promoted consistently</w:t>
      </w:r>
      <w:r w:rsidR="0050107B">
        <w:t xml:space="preserve"> across all courses, the ability to use assessment data on the university level was minimal.</w:t>
      </w:r>
    </w:p>
    <w:p w:rsidR="00AE65DA" w:rsidRDefault="00870061" w:rsidP="00AE65DA">
      <w:r>
        <w:t>Despite th</w:t>
      </w:r>
      <w:r w:rsidR="00590A0A">
        <w:t>ese drawbacks, a number of units</w:t>
      </w:r>
      <w:r>
        <w:t xml:space="preserve"> were able to make thoughtful plans for curricular improvement.  For example, </w:t>
      </w:r>
      <w:r w:rsidR="00712976">
        <w:t xml:space="preserve">the </w:t>
      </w:r>
      <w:r w:rsidR="0091781A">
        <w:t>Liberal Education Council used prior assessments of the G</w:t>
      </w:r>
      <w:r w:rsidR="00993466">
        <w:t>lobal Miami Plan</w:t>
      </w:r>
      <w:r w:rsidR="0091781A">
        <w:t xml:space="preserve"> as well as the findings from the Quality Initiative Project on the Degree Qualifications Profile to guide the reform of general education.  T</w:t>
      </w:r>
      <w:r>
        <w:t>he faculty involved in the Certificate for College Teaching P</w:t>
      </w:r>
      <w:r w:rsidR="008726D4">
        <w:t xml:space="preserve">rogram discovered through </w:t>
      </w:r>
      <w:r>
        <w:t xml:space="preserve">direct and indirect </w:t>
      </w:r>
      <w:r>
        <w:lastRenderedPageBreak/>
        <w:t>assessment methods tha</w:t>
      </w:r>
      <w:r w:rsidR="0091781A">
        <w:t xml:space="preserve">t they needed to take steps to promote the value of inclusive teaching.  </w:t>
      </w:r>
      <w:r w:rsidR="006932DE">
        <w:t xml:space="preserve">Analysis of assessment data led the American Studies faculty to </w:t>
      </w:r>
      <w:r w:rsidR="002041BA">
        <w:t xml:space="preserve">clarify the student learning outcomes being advanced in the </w:t>
      </w:r>
      <w:r w:rsidR="00B11B28">
        <w:t xml:space="preserve">course </w:t>
      </w:r>
      <w:r w:rsidR="008726D4">
        <w:t xml:space="preserve">on all syllabi </w:t>
      </w:r>
      <w:r w:rsidR="00B11B28">
        <w:t xml:space="preserve">and to revise several </w:t>
      </w:r>
      <w:r w:rsidR="002041BA">
        <w:t>upper-division courses to include sequenced instruction on research</w:t>
      </w:r>
      <w:r w:rsidR="00B11B28">
        <w:t>, including attention to research methods</w:t>
      </w:r>
      <w:r w:rsidR="002041BA">
        <w:t>.</w:t>
      </w:r>
      <w:r w:rsidR="00AE65DA">
        <w:t xml:space="preserve"> For additional success stories, see: </w:t>
      </w:r>
      <w:hyperlink r:id="rId66" w:history="1">
        <w:r w:rsidR="00AE65DA" w:rsidRPr="00625373">
          <w:rPr>
            <w:rStyle w:val="Hyperlink"/>
          </w:rPr>
          <w:t>http://www.units.miamioh.edu/celt/assessment/Successstories/departments.php</w:t>
        </w:r>
      </w:hyperlink>
      <w:r w:rsidR="00AE65DA">
        <w:t xml:space="preserve">. </w:t>
      </w:r>
    </w:p>
    <w:p w:rsidR="006D0831" w:rsidRDefault="00D070F6" w:rsidP="004009A2">
      <w:r>
        <w:t xml:space="preserve">Beginning in 2010, Miami began to work with </w:t>
      </w:r>
      <w:r w:rsidR="008726D4">
        <w:t xml:space="preserve">the </w:t>
      </w:r>
      <w:r>
        <w:t>Teagle Foundation to support a National Symposium on Assessment in the Humanities (a project which Teagle funded with a grant). </w:t>
      </w:r>
      <w:r w:rsidR="006D0831">
        <w:t>The Higher Learning Com</w:t>
      </w:r>
      <w:r w:rsidR="00922BF7">
        <w:t>mission has endorsed the guidelines,</w:t>
      </w:r>
      <w:r w:rsidR="004009A2">
        <w:t xml:space="preserve"> “Committing to Quality: Guidelines for Assessment and Accountability</w:t>
      </w:r>
      <w:r w:rsidR="00922BF7">
        <w:t>”</w:t>
      </w:r>
      <w:r w:rsidR="004009A2">
        <w:t xml:space="preserve"> which was </w:t>
      </w:r>
      <w:r w:rsidR="006D0831">
        <w:t>published by the New Leadership Alliance for Student Learni</w:t>
      </w:r>
      <w:r w:rsidR="000D3064">
        <w:t>ng and Accountability in 2012. Miami</w:t>
      </w:r>
      <w:r w:rsidR="006D0831">
        <w:t xml:space="preserve"> joined the Presidents' Allianc</w:t>
      </w:r>
      <w:r w:rsidR="004009A2">
        <w:t>e of that organization in 2011 and</w:t>
      </w:r>
      <w:r>
        <w:t>,</w:t>
      </w:r>
      <w:r w:rsidR="004009A2">
        <w:t xml:space="preserve"> e</w:t>
      </w:r>
      <w:r w:rsidR="006D0831">
        <w:t>ach year</w:t>
      </w:r>
      <w:r w:rsidR="004009A2">
        <w:t xml:space="preserve"> since then,</w:t>
      </w:r>
      <w:r>
        <w:t xml:space="preserve"> has</w:t>
      </w:r>
      <w:r w:rsidR="006D0831">
        <w:t xml:space="preserve"> used the self-assessment checklist promoted by th</w:t>
      </w:r>
      <w:r w:rsidR="008726D4">
        <w:t xml:space="preserve">at organization to evaluate institutional </w:t>
      </w:r>
      <w:r w:rsidR="000D3064">
        <w:t xml:space="preserve">practices.  In 2013, Miami </w:t>
      </w:r>
      <w:r w:rsidR="006D0831">
        <w:t>used a comp</w:t>
      </w:r>
      <w:r w:rsidR="004009A2">
        <w:t>rehensive self-</w:t>
      </w:r>
      <w:r>
        <w:t>assessment that the New Leadership Alliance</w:t>
      </w:r>
      <w:r w:rsidR="006D0831">
        <w:t xml:space="preserve"> published as "Assuring</w:t>
      </w:r>
      <w:r w:rsidR="008726D4">
        <w:t xml:space="preserve"> Quality: An I</w:t>
      </w:r>
      <w:r w:rsidR="000D3064">
        <w:t>nstitution</w:t>
      </w:r>
      <w:r w:rsidR="008726D4">
        <w:t>al S</w:t>
      </w:r>
      <w:r w:rsidR="000D3064">
        <w:t>elf-</w:t>
      </w:r>
      <w:r w:rsidR="008726D4">
        <w:t>Assessment Tool for Excellent Practice in Student Learning Outcomes A</w:t>
      </w:r>
      <w:r w:rsidR="004009A2">
        <w:t xml:space="preserve">ssessment” (see results in the Overview of Assessment at MU document and the Assessment &amp; Accountability Self-Report).  </w:t>
      </w:r>
      <w:r>
        <w:t xml:space="preserve">In </w:t>
      </w:r>
      <w:r w:rsidR="00892FC7">
        <w:t xml:space="preserve">the </w:t>
      </w:r>
      <w:r>
        <w:t>spring</w:t>
      </w:r>
      <w:r w:rsidR="00922BF7">
        <w:t xml:space="preserve"> </w:t>
      </w:r>
      <w:r w:rsidR="00892FC7">
        <w:t xml:space="preserve">of </w:t>
      </w:r>
      <w:r w:rsidR="00922BF7">
        <w:t>2014.</w:t>
      </w:r>
      <w:r>
        <w:t xml:space="preserve"> Miami’s assessment</w:t>
      </w:r>
      <w:r w:rsidR="006D0831">
        <w:t xml:space="preserve"> website was </w:t>
      </w:r>
      <w:r w:rsidR="000D3064">
        <w:t xml:space="preserve">selected by </w:t>
      </w:r>
      <w:r w:rsidR="00195985">
        <w:t>National Institute for Learning Outcomes Assessment (</w:t>
      </w:r>
      <w:r w:rsidR="000D3064">
        <w:t>NILOA</w:t>
      </w:r>
      <w:r w:rsidR="00195985">
        <w:t>)</w:t>
      </w:r>
      <w:r w:rsidR="000D3064">
        <w:t xml:space="preserve"> as a </w:t>
      </w:r>
      <w:r>
        <w:t>“</w:t>
      </w:r>
      <w:r w:rsidR="00892FC7">
        <w:t>f</w:t>
      </w:r>
      <w:r w:rsidR="000D3064">
        <w:t xml:space="preserve">eatured </w:t>
      </w:r>
      <w:r w:rsidR="00892FC7">
        <w:t>w</w:t>
      </w:r>
      <w:r>
        <w:t>ebsite.”</w:t>
      </w:r>
    </w:p>
    <w:p w:rsidR="0038120F" w:rsidRDefault="0038120F" w:rsidP="004009A2">
      <w:r>
        <w:t xml:space="preserve">Assessment of co-curricular activities is described in the Criterion 3.E narrative. </w:t>
      </w:r>
      <w:r w:rsidR="00AC715F">
        <w:t xml:space="preserve"> The assessment of co</w:t>
      </w:r>
      <w:r w:rsidR="00AA642D">
        <w:t xml:space="preserve">-curricular programs is overseen by the Division of Student Affairs. </w:t>
      </w:r>
    </w:p>
    <w:p w:rsidR="000E54AF" w:rsidRDefault="000E54AF" w:rsidP="0050107B">
      <w:r>
        <w:t>T</w:t>
      </w:r>
      <w:r w:rsidR="00AD049C">
        <w:t>he following measures have been put in place t</w:t>
      </w:r>
      <w:r w:rsidR="00892FC7">
        <w:t>o ensure that the u</w:t>
      </w:r>
      <w:r>
        <w:t>niv</w:t>
      </w:r>
      <w:r w:rsidR="00AD049C">
        <w:t xml:space="preserve">ersity </w:t>
      </w:r>
      <w:r w:rsidR="00922BF7">
        <w:t>continues to make</w:t>
      </w:r>
      <w:r w:rsidR="00AD049C">
        <w:t xml:space="preserve"> progress in employing full-cycle assessment</w:t>
      </w:r>
      <w:r w:rsidR="00892FC7">
        <w:t xml:space="preserve"> at all levels</w:t>
      </w:r>
      <w:r>
        <w:t>:</w:t>
      </w:r>
    </w:p>
    <w:p w:rsidR="000E54AF" w:rsidRDefault="000E54AF" w:rsidP="00F5054C">
      <w:pPr>
        <w:pStyle w:val="ListParagraph"/>
        <w:numPr>
          <w:ilvl w:val="0"/>
          <w:numId w:val="102"/>
        </w:numPr>
      </w:pPr>
      <w:r>
        <w:t>Hired a new assessment coordinator who will provide consultation on assessment plans and reports and coordinate the collection and dissemination of assessment plans and reports;</w:t>
      </w:r>
    </w:p>
    <w:p w:rsidR="000E54AF" w:rsidRDefault="000E54AF" w:rsidP="00F5054C">
      <w:pPr>
        <w:pStyle w:val="ListParagraph"/>
        <w:numPr>
          <w:ilvl w:val="0"/>
          <w:numId w:val="102"/>
        </w:numPr>
      </w:pPr>
      <w:r>
        <w:t>Develop</w:t>
      </w:r>
      <w:r w:rsidR="00B8427E">
        <w:t>ed</w:t>
      </w:r>
      <w:r>
        <w:t xml:space="preserve"> a procedure for reviewing assessment reports </w:t>
      </w:r>
      <w:r w:rsidR="003828EE">
        <w:t>at least once every 5-7 years.  The review will be conducted by divisional curriculum committees using guidelines developed by the assessment coordinator.  Committees will prepare a report on the strengths and areas for improvement and submit the report to the Academic Program Review Committee</w:t>
      </w:r>
      <w:r w:rsidR="00B8427E">
        <w:t xml:space="preserve"> approximately six months prior to the department’s program review site visit</w:t>
      </w:r>
      <w:r w:rsidR="003828EE">
        <w:t>.  APRC will include this</w:t>
      </w:r>
      <w:r w:rsidR="00AD049C">
        <w:t xml:space="preserve"> assessment evaluation</w:t>
      </w:r>
      <w:r w:rsidR="003828EE">
        <w:t xml:space="preserve"> report as part of the materials to be evaluated when a depa</w:t>
      </w:r>
      <w:r w:rsidR="00FF4096">
        <w:t>rtment undergoes program review;</w:t>
      </w:r>
    </w:p>
    <w:p w:rsidR="00392993" w:rsidRDefault="003828EE" w:rsidP="00F5054C">
      <w:pPr>
        <w:pStyle w:val="ListParagraph"/>
        <w:numPr>
          <w:ilvl w:val="0"/>
          <w:numId w:val="102"/>
        </w:numPr>
      </w:pPr>
      <w:r>
        <w:t>Created a dashboard of assessmen</w:t>
      </w:r>
      <w:r w:rsidR="004D4E14">
        <w:t>t activity maintained</w:t>
      </w:r>
      <w:r>
        <w:t xml:space="preserve"> by the assessment coordinator and distributed to academic deans so that they can keep abreast of the assessment progress of each of the de</w:t>
      </w:r>
      <w:r w:rsidR="0038120F">
        <w:t>partments within their division;</w:t>
      </w:r>
    </w:p>
    <w:p w:rsidR="0038120F" w:rsidRPr="00E123A8" w:rsidRDefault="0038120F" w:rsidP="00F5054C">
      <w:pPr>
        <w:pStyle w:val="ListParagraph"/>
        <w:numPr>
          <w:ilvl w:val="0"/>
          <w:numId w:val="102"/>
        </w:numPr>
      </w:pPr>
      <w:r>
        <w:t>Developed a new assessment plan</w:t>
      </w:r>
      <w:r w:rsidR="00AA642D">
        <w:t xml:space="preserve"> to assess student learning outcomes</w:t>
      </w:r>
      <w:r>
        <w:t xml:space="preserve"> for </w:t>
      </w:r>
      <w:r w:rsidR="00AA642D">
        <w:t xml:space="preserve">co-curricular </w:t>
      </w:r>
      <w:r>
        <w:t>programs within the Division of Student Affairs.</w:t>
      </w:r>
    </w:p>
    <w:p w:rsidR="00AF09C0" w:rsidRDefault="00AF09C0" w:rsidP="004E0635">
      <w:pPr>
        <w:pStyle w:val="Heading2"/>
      </w:pPr>
      <w:r>
        <w:t>Sources</w:t>
      </w:r>
    </w:p>
    <w:p w:rsidR="00976897" w:rsidRPr="00AE65DA" w:rsidRDefault="00976897" w:rsidP="00F5054C">
      <w:pPr>
        <w:pStyle w:val="ListParagraph"/>
        <w:numPr>
          <w:ilvl w:val="0"/>
          <w:numId w:val="68"/>
        </w:numPr>
        <w:rPr>
          <w:sz w:val="20"/>
          <w:szCs w:val="20"/>
        </w:rPr>
      </w:pPr>
      <w:r w:rsidRPr="00AE65DA">
        <w:rPr>
          <w:sz w:val="20"/>
          <w:szCs w:val="20"/>
        </w:rPr>
        <w:t>Global Miami Plan Revision Proposal</w:t>
      </w:r>
    </w:p>
    <w:p w:rsidR="00683684" w:rsidRPr="00AE65DA" w:rsidRDefault="00683684" w:rsidP="00F5054C">
      <w:pPr>
        <w:pStyle w:val="ListParagraph"/>
        <w:numPr>
          <w:ilvl w:val="0"/>
          <w:numId w:val="68"/>
        </w:numPr>
        <w:rPr>
          <w:sz w:val="20"/>
          <w:szCs w:val="20"/>
        </w:rPr>
      </w:pPr>
      <w:r w:rsidRPr="00AE65DA">
        <w:rPr>
          <w:sz w:val="20"/>
          <w:szCs w:val="20"/>
        </w:rPr>
        <w:t>Assessment B</w:t>
      </w:r>
      <w:r w:rsidR="00976897" w:rsidRPr="00AE65DA">
        <w:rPr>
          <w:sz w:val="20"/>
          <w:szCs w:val="20"/>
        </w:rPr>
        <w:t>riefs: 12, 21, 22, 25, 35, 41, 50, 67, 72, 79, 82-84</w:t>
      </w:r>
    </w:p>
    <w:p w:rsidR="00AE65DA" w:rsidRPr="00AE65DA" w:rsidRDefault="00683684" w:rsidP="00F5054C">
      <w:pPr>
        <w:pStyle w:val="ListParagraph"/>
        <w:numPr>
          <w:ilvl w:val="0"/>
          <w:numId w:val="68"/>
        </w:numPr>
        <w:rPr>
          <w:sz w:val="20"/>
          <w:szCs w:val="20"/>
        </w:rPr>
      </w:pPr>
      <w:r w:rsidRPr="00AE65DA">
        <w:rPr>
          <w:sz w:val="20"/>
          <w:szCs w:val="20"/>
        </w:rPr>
        <w:t>Guidelines for Reviewing Assessment Plans and Reports for Divisional Curriculum Committees</w:t>
      </w:r>
    </w:p>
    <w:p w:rsidR="00AE65DA" w:rsidRPr="00AE65DA" w:rsidRDefault="00AE65DA" w:rsidP="00F5054C">
      <w:pPr>
        <w:pStyle w:val="ListParagraph"/>
        <w:numPr>
          <w:ilvl w:val="0"/>
          <w:numId w:val="68"/>
        </w:numPr>
        <w:rPr>
          <w:sz w:val="20"/>
          <w:szCs w:val="20"/>
        </w:rPr>
      </w:pPr>
      <w:r w:rsidRPr="00AE65DA">
        <w:rPr>
          <w:sz w:val="20"/>
          <w:szCs w:val="20"/>
        </w:rPr>
        <w:t>Success stories for use of assessment data: http://www.units.miamioh.edu/celt/assessment/Successstories/departments.php</w:t>
      </w:r>
    </w:p>
    <w:p w:rsidR="007B4284" w:rsidRPr="00AE65DA" w:rsidRDefault="005B202F" w:rsidP="00F5054C">
      <w:pPr>
        <w:pStyle w:val="ListParagraph"/>
        <w:numPr>
          <w:ilvl w:val="0"/>
          <w:numId w:val="68"/>
        </w:numPr>
        <w:rPr>
          <w:sz w:val="20"/>
          <w:szCs w:val="20"/>
        </w:rPr>
      </w:pPr>
      <w:r w:rsidRPr="00AE65DA">
        <w:rPr>
          <w:sz w:val="20"/>
          <w:szCs w:val="20"/>
        </w:rPr>
        <w:t xml:space="preserve">Assessment of </w:t>
      </w:r>
      <w:r w:rsidR="00237A35" w:rsidRPr="00AE65DA">
        <w:rPr>
          <w:sz w:val="20"/>
          <w:szCs w:val="20"/>
        </w:rPr>
        <w:t xml:space="preserve">Top 25 Project: </w:t>
      </w:r>
      <w:hyperlink r:id="rId67" w:history="1">
        <w:r w:rsidR="007B4284" w:rsidRPr="00AE65DA">
          <w:rPr>
            <w:rStyle w:val="Hyperlink"/>
            <w:sz w:val="20"/>
            <w:szCs w:val="20"/>
          </w:rPr>
          <w:t>http://www.units.miamioh.edu/celt/engaged_learning/top25/assessment.php</w:t>
        </w:r>
      </w:hyperlink>
    </w:p>
    <w:p w:rsidR="00863143" w:rsidRPr="00AE65DA" w:rsidRDefault="00863143" w:rsidP="00F5054C">
      <w:pPr>
        <w:pStyle w:val="ListParagraph"/>
        <w:numPr>
          <w:ilvl w:val="0"/>
          <w:numId w:val="68"/>
        </w:numPr>
        <w:rPr>
          <w:sz w:val="20"/>
          <w:szCs w:val="20"/>
        </w:rPr>
      </w:pPr>
      <w:r w:rsidRPr="00AE65DA">
        <w:rPr>
          <w:sz w:val="20"/>
          <w:szCs w:val="20"/>
        </w:rPr>
        <w:t>Summary of assessment at Miami</w:t>
      </w:r>
      <w:r w:rsidR="00067511" w:rsidRPr="00AE65DA">
        <w:rPr>
          <w:sz w:val="20"/>
          <w:szCs w:val="20"/>
        </w:rPr>
        <w:t xml:space="preserve"> [CELTUA Template on Compliance Assist</w:t>
      </w:r>
      <w:r w:rsidR="00CF15CA" w:rsidRPr="00AE65DA">
        <w:rPr>
          <w:sz w:val="20"/>
          <w:szCs w:val="20"/>
        </w:rPr>
        <w:t>—includes summary of old and new assessment of GMP—data from old program review method and new program embedded process</w:t>
      </w:r>
      <w:r w:rsidR="00067511" w:rsidRPr="00AE65DA">
        <w:rPr>
          <w:sz w:val="20"/>
          <w:szCs w:val="20"/>
        </w:rPr>
        <w:t>]</w:t>
      </w:r>
    </w:p>
    <w:p w:rsidR="00863143" w:rsidRPr="00AE65DA" w:rsidRDefault="00863143" w:rsidP="00F5054C">
      <w:pPr>
        <w:pStyle w:val="ListParagraph"/>
        <w:numPr>
          <w:ilvl w:val="0"/>
          <w:numId w:val="68"/>
        </w:numPr>
        <w:rPr>
          <w:sz w:val="20"/>
          <w:szCs w:val="20"/>
        </w:rPr>
      </w:pPr>
      <w:r w:rsidRPr="00AE65DA">
        <w:rPr>
          <w:sz w:val="20"/>
          <w:szCs w:val="20"/>
        </w:rPr>
        <w:t xml:space="preserve">Graduate School Guidelines on Student Learning Outcomes </w:t>
      </w:r>
    </w:p>
    <w:p w:rsidR="00D070F6" w:rsidRPr="00AE65DA" w:rsidRDefault="00D070F6" w:rsidP="00F5054C">
      <w:pPr>
        <w:pStyle w:val="ListParagraph"/>
        <w:numPr>
          <w:ilvl w:val="0"/>
          <w:numId w:val="68"/>
        </w:numPr>
        <w:rPr>
          <w:sz w:val="20"/>
          <w:szCs w:val="20"/>
        </w:rPr>
      </w:pPr>
      <w:r w:rsidRPr="00AE65DA">
        <w:rPr>
          <w:sz w:val="20"/>
          <w:szCs w:val="20"/>
        </w:rPr>
        <w:lastRenderedPageBreak/>
        <w:t>Miami’s assessment website</w:t>
      </w:r>
      <w:r w:rsidR="00195985" w:rsidRPr="00AE65DA">
        <w:rPr>
          <w:sz w:val="20"/>
          <w:szCs w:val="20"/>
        </w:rPr>
        <w:t xml:space="preserve"> featured by NILOA</w:t>
      </w:r>
      <w:r w:rsidRPr="00AE65DA">
        <w:rPr>
          <w:sz w:val="20"/>
          <w:szCs w:val="20"/>
        </w:rPr>
        <w:t>:   </w:t>
      </w:r>
      <w:r w:rsidR="006B3FF3">
        <w:fldChar w:fldCharType="begin"/>
      </w:r>
      <w:r w:rsidR="006B3FF3">
        <w:instrText xml:space="preserve"> HYPERLINK "http://www.learningoutcomeassessment.org/MiamiUniversityFW.html" \t "_blank" </w:instrText>
      </w:r>
      <w:r w:rsidR="006B3FF3">
        <w:fldChar w:fldCharType="separate"/>
      </w:r>
      <w:r w:rsidRPr="00AE65DA">
        <w:rPr>
          <w:rStyle w:val="Hyperlink"/>
          <w:rFonts w:ascii="Arial" w:hAnsi="Arial" w:cs="Arial"/>
          <w:color w:val="1155CC"/>
          <w:sz w:val="20"/>
          <w:szCs w:val="20"/>
        </w:rPr>
        <w:t>http://www.learningoutcomeassessment.org/MiamiUniversityFW.html</w:t>
      </w:r>
      <w:r w:rsidR="006B3FF3">
        <w:rPr>
          <w:rStyle w:val="Hyperlink"/>
          <w:rFonts w:ascii="Arial" w:hAnsi="Arial" w:cs="Arial"/>
          <w:color w:val="1155CC"/>
          <w:sz w:val="20"/>
          <w:szCs w:val="20"/>
        </w:rPr>
        <w:fldChar w:fldCharType="end"/>
      </w:r>
    </w:p>
    <w:p w:rsidR="00863143" w:rsidRPr="00AE65DA" w:rsidRDefault="00863143" w:rsidP="00F5054C">
      <w:pPr>
        <w:pStyle w:val="ListParagraph"/>
        <w:numPr>
          <w:ilvl w:val="0"/>
          <w:numId w:val="68"/>
        </w:numPr>
        <w:rPr>
          <w:sz w:val="20"/>
          <w:szCs w:val="20"/>
        </w:rPr>
      </w:pPr>
      <w:r w:rsidRPr="00AE65DA">
        <w:rPr>
          <w:sz w:val="20"/>
          <w:szCs w:val="20"/>
        </w:rPr>
        <w:t>Assessment plans and reports for all degree programs and Student Affairs programs</w:t>
      </w:r>
    </w:p>
    <w:p w:rsidR="00863143" w:rsidRPr="00AE65DA" w:rsidRDefault="00863143" w:rsidP="00F5054C">
      <w:pPr>
        <w:pStyle w:val="ListParagraph"/>
        <w:numPr>
          <w:ilvl w:val="0"/>
          <w:numId w:val="68"/>
        </w:numPr>
        <w:rPr>
          <w:sz w:val="20"/>
          <w:szCs w:val="20"/>
        </w:rPr>
      </w:pPr>
      <w:r w:rsidRPr="00AE65DA">
        <w:rPr>
          <w:sz w:val="20"/>
          <w:szCs w:val="20"/>
        </w:rPr>
        <w:t>CELTUA assessment workshops and programming</w:t>
      </w:r>
    </w:p>
    <w:p w:rsidR="00863143" w:rsidRPr="00AE65DA" w:rsidRDefault="00863143" w:rsidP="00F5054C">
      <w:pPr>
        <w:pStyle w:val="ListParagraph"/>
        <w:numPr>
          <w:ilvl w:val="0"/>
          <w:numId w:val="68"/>
        </w:numPr>
        <w:rPr>
          <w:sz w:val="20"/>
          <w:szCs w:val="20"/>
        </w:rPr>
      </w:pPr>
      <w:r w:rsidRPr="00AE65DA">
        <w:rPr>
          <w:sz w:val="20"/>
          <w:szCs w:val="20"/>
        </w:rPr>
        <w:t>Statement of faculty involvement in assessment</w:t>
      </w:r>
    </w:p>
    <w:p w:rsidR="00863143" w:rsidRPr="00AE65DA" w:rsidRDefault="00863143" w:rsidP="00F5054C">
      <w:pPr>
        <w:pStyle w:val="ListParagraph"/>
        <w:numPr>
          <w:ilvl w:val="0"/>
          <w:numId w:val="68"/>
        </w:numPr>
        <w:rPr>
          <w:sz w:val="20"/>
          <w:szCs w:val="20"/>
        </w:rPr>
      </w:pPr>
      <w:r w:rsidRPr="00AE65DA">
        <w:rPr>
          <w:sz w:val="20"/>
          <w:szCs w:val="20"/>
        </w:rPr>
        <w:t>CELTUA checklist based on the Commitment to Quality document from New Leadership Alliance (endorsed by HLC)</w:t>
      </w:r>
    </w:p>
    <w:p w:rsidR="00863143" w:rsidRPr="00AE65DA" w:rsidRDefault="00863143" w:rsidP="00F5054C">
      <w:pPr>
        <w:pStyle w:val="ListParagraph"/>
        <w:numPr>
          <w:ilvl w:val="0"/>
          <w:numId w:val="68"/>
        </w:numPr>
        <w:rPr>
          <w:sz w:val="20"/>
          <w:szCs w:val="20"/>
        </w:rPr>
      </w:pPr>
      <w:r w:rsidRPr="00AE65DA">
        <w:rPr>
          <w:sz w:val="20"/>
          <w:szCs w:val="20"/>
        </w:rPr>
        <w:t>Assessment Team minutes, reports, briefs</w:t>
      </w:r>
    </w:p>
    <w:p w:rsidR="005846DD" w:rsidRPr="00AE65DA" w:rsidRDefault="00863143" w:rsidP="00F5054C">
      <w:pPr>
        <w:pStyle w:val="ListParagraph"/>
        <w:numPr>
          <w:ilvl w:val="0"/>
          <w:numId w:val="68"/>
        </w:numPr>
        <w:rPr>
          <w:sz w:val="20"/>
          <w:szCs w:val="20"/>
        </w:rPr>
      </w:pPr>
      <w:r w:rsidRPr="00AE65DA">
        <w:rPr>
          <w:sz w:val="20"/>
          <w:szCs w:val="20"/>
        </w:rPr>
        <w:t>CELTUA website on assessment</w:t>
      </w:r>
    </w:p>
    <w:p w:rsidR="005846DD" w:rsidRPr="00AE65DA" w:rsidRDefault="000E5FDD" w:rsidP="00F5054C">
      <w:pPr>
        <w:pStyle w:val="ListParagraph"/>
        <w:numPr>
          <w:ilvl w:val="0"/>
          <w:numId w:val="68"/>
        </w:numPr>
        <w:rPr>
          <w:sz w:val="20"/>
          <w:szCs w:val="20"/>
        </w:rPr>
      </w:pPr>
      <w:r w:rsidRPr="00AE65DA">
        <w:rPr>
          <w:sz w:val="20"/>
          <w:szCs w:val="20"/>
        </w:rPr>
        <w:t xml:space="preserve">Summary of CAS Writing Competency Requirement : </w:t>
      </w:r>
      <w:hyperlink r:id="rId68" w:history="1">
        <w:r w:rsidR="005846DD" w:rsidRPr="00AE65DA">
          <w:rPr>
            <w:rStyle w:val="Hyperlink"/>
            <w:sz w:val="20"/>
            <w:szCs w:val="20"/>
          </w:rPr>
          <w:t>http://writingcenter.lib.muohio.edu/quicklinks-for-faculty-tas/college-of-arts-science-writing-requirement/</w:t>
        </w:r>
      </w:hyperlink>
    </w:p>
    <w:p w:rsidR="00F432B9" w:rsidRPr="00AE65DA" w:rsidRDefault="005846DD" w:rsidP="00F5054C">
      <w:pPr>
        <w:pStyle w:val="ListParagraph"/>
        <w:numPr>
          <w:ilvl w:val="0"/>
          <w:numId w:val="68"/>
        </w:numPr>
        <w:rPr>
          <w:sz w:val="20"/>
          <w:szCs w:val="20"/>
        </w:rPr>
      </w:pPr>
      <w:r w:rsidRPr="00AE65DA">
        <w:rPr>
          <w:sz w:val="20"/>
          <w:szCs w:val="20"/>
        </w:rPr>
        <w:t xml:space="preserve">List of CAS Writing Competency Assessment Plans: </w:t>
      </w:r>
      <w:hyperlink r:id="rId69" w:history="1">
        <w:r w:rsidR="00F432B9" w:rsidRPr="00AE65DA">
          <w:rPr>
            <w:rStyle w:val="Hyperlink"/>
            <w:sz w:val="20"/>
            <w:szCs w:val="20"/>
          </w:rPr>
          <w:t>http://writingcenter.lib.muohio.edu/writing-outcomes-and-assessment-plans-for-majors-in-the-college-of-arts-and-science/</w:t>
        </w:r>
      </w:hyperlink>
    </w:p>
    <w:p w:rsidR="00E016D3" w:rsidRPr="00AE65DA" w:rsidRDefault="00F432B9" w:rsidP="00F5054C">
      <w:pPr>
        <w:pStyle w:val="ListParagraph"/>
        <w:numPr>
          <w:ilvl w:val="0"/>
          <w:numId w:val="68"/>
        </w:numPr>
        <w:rPr>
          <w:sz w:val="20"/>
          <w:szCs w:val="20"/>
        </w:rPr>
      </w:pPr>
      <w:r w:rsidRPr="00AE65DA">
        <w:rPr>
          <w:sz w:val="20"/>
          <w:szCs w:val="20"/>
        </w:rPr>
        <w:t xml:space="preserve">Assessment in the Humanities National Symposium: </w:t>
      </w:r>
      <w:hyperlink r:id="rId70" w:history="1">
        <w:r w:rsidRPr="00AE65DA">
          <w:rPr>
            <w:rStyle w:val="Hyperlink"/>
            <w:sz w:val="20"/>
            <w:szCs w:val="20"/>
          </w:rPr>
          <w:t>http://www.units.miamioh.edu/aihc/</w:t>
        </w:r>
      </w:hyperlink>
    </w:p>
    <w:p w:rsidR="00F432B9" w:rsidRPr="00AE65DA" w:rsidRDefault="00E016D3" w:rsidP="00F5054C">
      <w:pPr>
        <w:pStyle w:val="ListParagraph"/>
        <w:numPr>
          <w:ilvl w:val="0"/>
          <w:numId w:val="68"/>
        </w:numPr>
      </w:pPr>
      <w:r w:rsidRPr="00AE65DA">
        <w:t>Article on MU joining President’s Alliance of the New Leadership Alliance for Student Learning and Accountability;  </w:t>
      </w:r>
      <w:r w:rsidR="006B3FF3">
        <w:fldChar w:fldCharType="begin"/>
      </w:r>
      <w:r w:rsidR="006B3FF3">
        <w:instrText xml:space="preserve"> HYPERLINK "http://miamioh.edu/news/article/view/15880.html" \t "_blank" </w:instrText>
      </w:r>
      <w:r w:rsidR="006B3FF3">
        <w:fldChar w:fldCharType="separate"/>
      </w:r>
      <w:r w:rsidRPr="00AE65DA">
        <w:rPr>
          <w:rStyle w:val="Hyperlink"/>
          <w:rFonts w:ascii="Arial" w:hAnsi="Arial" w:cs="Arial"/>
          <w:color w:val="1155CC"/>
          <w:sz w:val="20"/>
          <w:szCs w:val="20"/>
        </w:rPr>
        <w:t>http://miamioh.edu/news/article/view/15880.html</w:t>
      </w:r>
      <w:r w:rsidR="006B3FF3">
        <w:rPr>
          <w:rStyle w:val="Hyperlink"/>
          <w:rFonts w:ascii="Arial" w:hAnsi="Arial" w:cs="Arial"/>
          <w:color w:val="1155CC"/>
          <w:sz w:val="20"/>
          <w:szCs w:val="20"/>
        </w:rPr>
        <w:fldChar w:fldCharType="end"/>
      </w:r>
    </w:p>
    <w:p w:rsidR="00E016D3" w:rsidRDefault="00E016D3" w:rsidP="00F5054C">
      <w:pPr>
        <w:pStyle w:val="ListParagraph"/>
        <w:numPr>
          <w:ilvl w:val="0"/>
          <w:numId w:val="68"/>
        </w:numPr>
      </w:pPr>
      <w:r w:rsidRPr="00AE65DA">
        <w:t>Assessment an</w:t>
      </w:r>
      <w:r w:rsidR="00CE49A7">
        <w:t xml:space="preserve">d Accountability Self-Report </w:t>
      </w:r>
      <w:r w:rsidRPr="00AE65DA">
        <w:t>which</w:t>
      </w:r>
      <w:r w:rsidR="00CE49A7">
        <w:t xml:space="preserve"> is</w:t>
      </w:r>
      <w:r w:rsidRPr="00AE65DA">
        <w:t xml:space="preserve"> self assessment using the "Assuring Quality: an institutional self-assessment tool for excellent practice in student learning outcomes assessment</w:t>
      </w:r>
      <w:r w:rsidR="004009A2" w:rsidRPr="00AE65DA">
        <w:t>”</w:t>
      </w:r>
    </w:p>
    <w:p w:rsidR="00D827A0" w:rsidRDefault="00D827A0" w:rsidP="00F5054C">
      <w:pPr>
        <w:pStyle w:val="ListParagraph"/>
        <w:numPr>
          <w:ilvl w:val="0"/>
          <w:numId w:val="68"/>
        </w:numPr>
      </w:pPr>
      <w:r>
        <w:t>Summary of e-learning comparison</w:t>
      </w:r>
    </w:p>
    <w:p w:rsidR="00D827A0" w:rsidRDefault="00D827A0" w:rsidP="00F5054C">
      <w:pPr>
        <w:pStyle w:val="ListParagraph"/>
        <w:numPr>
          <w:ilvl w:val="0"/>
          <w:numId w:val="68"/>
        </w:numPr>
      </w:pPr>
      <w:r>
        <w:t>DQP report</w:t>
      </w:r>
    </w:p>
    <w:p w:rsidR="00D827A0" w:rsidRDefault="00D827A0" w:rsidP="00F5054C">
      <w:pPr>
        <w:pStyle w:val="ListParagraph"/>
        <w:numPr>
          <w:ilvl w:val="0"/>
          <w:numId w:val="68"/>
        </w:numPr>
      </w:pPr>
      <w:r>
        <w:t>2009 Senate approval of new course approval process to include outcomes</w:t>
      </w:r>
    </w:p>
    <w:p w:rsidR="00D827A0" w:rsidRDefault="00D827A0" w:rsidP="00F5054C">
      <w:pPr>
        <w:pStyle w:val="ListParagraph"/>
        <w:numPr>
          <w:ilvl w:val="0"/>
          <w:numId w:val="68"/>
        </w:numPr>
      </w:pPr>
      <w:r>
        <w:t>2011 Senate approval of GMP assessment embedded in program level assessment</w:t>
      </w:r>
    </w:p>
    <w:p w:rsidR="00D827A0" w:rsidRDefault="00D827A0" w:rsidP="00F5054C">
      <w:pPr>
        <w:pStyle w:val="ListParagraph"/>
        <w:numPr>
          <w:ilvl w:val="0"/>
          <w:numId w:val="68"/>
        </w:numPr>
      </w:pPr>
      <w:r>
        <w:t>Old GMP requirements and description in Bulletin</w:t>
      </w:r>
    </w:p>
    <w:p w:rsidR="00D827A0" w:rsidRDefault="00D827A0" w:rsidP="00F5054C">
      <w:pPr>
        <w:pStyle w:val="ListParagraph"/>
        <w:numPr>
          <w:ilvl w:val="0"/>
          <w:numId w:val="68"/>
        </w:numPr>
      </w:pPr>
      <w:r>
        <w:t>Assessment plan and report templates</w:t>
      </w:r>
    </w:p>
    <w:p w:rsidR="00AC715F" w:rsidRPr="00AE65DA" w:rsidRDefault="00AC715F" w:rsidP="00F5054C">
      <w:pPr>
        <w:pStyle w:val="ListParagraph"/>
        <w:numPr>
          <w:ilvl w:val="0"/>
          <w:numId w:val="68"/>
        </w:numPr>
      </w:pPr>
      <w:r>
        <w:t>Student Affairs Assessment Plan</w:t>
      </w:r>
    </w:p>
    <w:p w:rsidR="00D97BE3" w:rsidRDefault="00D97BE3" w:rsidP="00863143">
      <w:pPr>
        <w:pStyle w:val="NoSpacing"/>
        <w:rPr>
          <w:sz w:val="20"/>
          <w:szCs w:val="20"/>
        </w:rPr>
      </w:pPr>
    </w:p>
    <w:p w:rsidR="00D97BE3" w:rsidRDefault="00D97BE3">
      <w:pPr>
        <w:rPr>
          <w:b/>
          <w:i/>
        </w:rPr>
      </w:pPr>
      <w:r>
        <w:rPr>
          <w:b/>
          <w:i/>
        </w:rPr>
        <w:br w:type="page"/>
      </w:r>
    </w:p>
    <w:p w:rsidR="00D97BE3" w:rsidRPr="005672D6" w:rsidRDefault="00FC3EC7" w:rsidP="00FC3EC7">
      <w:pPr>
        <w:pStyle w:val="Heading4"/>
        <w:ind w:left="720" w:hanging="720"/>
      </w:pPr>
      <w:r>
        <w:lastRenderedPageBreak/>
        <w:t>4.C.</w:t>
      </w:r>
      <w:r>
        <w:tab/>
      </w:r>
      <w:r w:rsidR="00D97BE3" w:rsidRPr="005672D6">
        <w:t>The institution demonstrates a commitment to educational improvement through ongoing attention to retention, persistence, and completion rates in degree and certificate programs.</w:t>
      </w:r>
    </w:p>
    <w:p w:rsidR="00D97BE3" w:rsidRPr="00FC3EC7" w:rsidRDefault="00D97BE3" w:rsidP="00FC3EC7">
      <w:pPr>
        <w:pStyle w:val="Heading5"/>
        <w:ind w:left="720" w:hanging="720"/>
        <w:rPr>
          <w:sz w:val="22"/>
          <w:szCs w:val="22"/>
        </w:rPr>
      </w:pPr>
      <w:r w:rsidRPr="00FC3EC7">
        <w:rPr>
          <w:sz w:val="22"/>
          <w:szCs w:val="22"/>
        </w:rPr>
        <w:t>4.C.1.</w:t>
      </w:r>
      <w:r w:rsidR="00FC3EC7" w:rsidRPr="00FC3EC7">
        <w:rPr>
          <w:sz w:val="22"/>
          <w:szCs w:val="22"/>
        </w:rPr>
        <w:tab/>
      </w:r>
      <w:r w:rsidRPr="00FC3EC7">
        <w:rPr>
          <w:sz w:val="22"/>
          <w:szCs w:val="22"/>
        </w:rPr>
        <w:t>The institution has defined goals for student retention, persistence, and completion that are ambitious but attainable and appropriate to its mission, student populations, and educational offerings.</w:t>
      </w:r>
    </w:p>
    <w:p w:rsidR="00D97BE3" w:rsidRPr="00FC3EC7" w:rsidRDefault="00FC3EC7" w:rsidP="00FC3EC7">
      <w:pPr>
        <w:pStyle w:val="Heading5"/>
        <w:ind w:left="720" w:hanging="720"/>
        <w:rPr>
          <w:sz w:val="22"/>
          <w:szCs w:val="22"/>
        </w:rPr>
      </w:pPr>
      <w:r w:rsidRPr="00FC3EC7">
        <w:rPr>
          <w:sz w:val="22"/>
          <w:szCs w:val="22"/>
        </w:rPr>
        <w:t>4.C.2.</w:t>
      </w:r>
      <w:r w:rsidRPr="00FC3EC7">
        <w:rPr>
          <w:sz w:val="22"/>
          <w:szCs w:val="22"/>
        </w:rPr>
        <w:tab/>
      </w:r>
      <w:r w:rsidR="00D97BE3" w:rsidRPr="00FC3EC7">
        <w:rPr>
          <w:sz w:val="22"/>
          <w:szCs w:val="22"/>
        </w:rPr>
        <w:t>The institution collects and analyzes information on student retention, persistence, and completion of programs.</w:t>
      </w:r>
    </w:p>
    <w:p w:rsidR="00D97BE3" w:rsidRPr="00FC3EC7" w:rsidRDefault="00FC3EC7" w:rsidP="00FC3EC7">
      <w:pPr>
        <w:pStyle w:val="Heading5"/>
        <w:ind w:left="720" w:hanging="720"/>
        <w:rPr>
          <w:sz w:val="22"/>
          <w:szCs w:val="22"/>
        </w:rPr>
      </w:pPr>
      <w:r w:rsidRPr="00FC3EC7">
        <w:rPr>
          <w:sz w:val="22"/>
          <w:szCs w:val="22"/>
        </w:rPr>
        <w:t>4.C.3.</w:t>
      </w:r>
      <w:r w:rsidRPr="00FC3EC7">
        <w:rPr>
          <w:sz w:val="22"/>
          <w:szCs w:val="22"/>
        </w:rPr>
        <w:tab/>
      </w:r>
      <w:r w:rsidR="00D97BE3" w:rsidRPr="00FC3EC7">
        <w:rPr>
          <w:sz w:val="22"/>
          <w:szCs w:val="22"/>
        </w:rPr>
        <w:t>The institution uses information on student retention, persistence, and completion of programs to make improvements as warranted by the data.</w:t>
      </w:r>
    </w:p>
    <w:p w:rsidR="00D97BE3" w:rsidRPr="00FC3EC7" w:rsidRDefault="00FC3EC7" w:rsidP="00FC3EC7">
      <w:pPr>
        <w:pStyle w:val="Heading5"/>
        <w:ind w:left="720" w:hanging="720"/>
        <w:rPr>
          <w:sz w:val="22"/>
          <w:szCs w:val="22"/>
        </w:rPr>
      </w:pPr>
      <w:r w:rsidRPr="00FC3EC7">
        <w:rPr>
          <w:sz w:val="22"/>
          <w:szCs w:val="22"/>
        </w:rPr>
        <w:t>4.C.4.</w:t>
      </w:r>
      <w:r w:rsidRPr="00FC3EC7">
        <w:rPr>
          <w:sz w:val="22"/>
          <w:szCs w:val="22"/>
        </w:rPr>
        <w:tab/>
      </w:r>
      <w:r w:rsidR="00D97BE3" w:rsidRPr="00FC3EC7">
        <w:rPr>
          <w:sz w:val="22"/>
          <w:szCs w:val="22"/>
        </w:rPr>
        <w:t>The institution’s processes and methodologies for collecting and analyzing information on student retention, persistence, and completion of programs reflect good practice.</w:t>
      </w:r>
    </w:p>
    <w:p w:rsidR="00863143" w:rsidRDefault="00FC3EC7" w:rsidP="00FC3EC7">
      <w:pPr>
        <w:pStyle w:val="Heading2"/>
      </w:pPr>
      <w:r>
        <w:t>Narrative</w:t>
      </w:r>
    </w:p>
    <w:p w:rsidR="000C2650" w:rsidRDefault="00976897" w:rsidP="000C2650">
      <w:pPr>
        <w:rPr>
          <w:rFonts w:eastAsia="Times New Roman"/>
        </w:rPr>
      </w:pPr>
      <w:r>
        <w:rPr>
          <w:rFonts w:eastAsia="Times New Roman"/>
        </w:rPr>
        <w:t xml:space="preserve">Miami has historically had a strong record of retention and graduation.  </w:t>
      </w:r>
      <w:r w:rsidR="000C2650">
        <w:rPr>
          <w:rFonts w:eastAsia="Times New Roman"/>
        </w:rPr>
        <w:t>On the Oxford campus, the first-</w:t>
      </w:r>
      <w:r w:rsidR="00331178">
        <w:rPr>
          <w:rFonts w:eastAsia="Times New Roman"/>
        </w:rPr>
        <w:t>year student retention for full-</w:t>
      </w:r>
      <w:r w:rsidR="00892FC7">
        <w:rPr>
          <w:rFonts w:eastAsia="Times New Roman"/>
        </w:rPr>
        <w:t>time students is 90%.  The four-</w:t>
      </w:r>
      <w:r w:rsidR="000C2650">
        <w:rPr>
          <w:rFonts w:eastAsia="Times New Roman"/>
        </w:rPr>
        <w:t xml:space="preserve">year graduation rate is 68%, and the six-year graduation rate is 81%.  </w:t>
      </w:r>
    </w:p>
    <w:p w:rsidR="000C2650" w:rsidRDefault="00CE49A7" w:rsidP="000C2650">
      <w:pPr>
        <w:rPr>
          <w:rFonts w:eastAsia="Times New Roman"/>
        </w:rPr>
      </w:pPr>
      <w:r>
        <w:rPr>
          <w:rFonts w:eastAsia="Times New Roman"/>
        </w:rPr>
        <w:t>While also grounded in</w:t>
      </w:r>
      <w:r w:rsidR="000C2650">
        <w:rPr>
          <w:rFonts w:eastAsia="Times New Roman"/>
        </w:rPr>
        <w:t xml:space="preserve"> a liberal arts education, Miami’s regional campuses serve a different student population.  Thirty</w:t>
      </w:r>
      <w:r w:rsidR="004D4E14">
        <w:rPr>
          <w:rFonts w:eastAsia="Times New Roman"/>
        </w:rPr>
        <w:t>-four</w:t>
      </w:r>
      <w:r w:rsidR="000C2650">
        <w:rPr>
          <w:rFonts w:eastAsia="Times New Roman"/>
        </w:rPr>
        <w:t xml:space="preserve"> percent of th</w:t>
      </w:r>
      <w:r w:rsidR="004D4E14">
        <w:rPr>
          <w:rFonts w:eastAsia="Times New Roman"/>
        </w:rPr>
        <w:t>e students are part time, and 66</w:t>
      </w:r>
      <w:r w:rsidR="000C2650">
        <w:rPr>
          <w:rFonts w:eastAsia="Times New Roman"/>
        </w:rPr>
        <w:t>% are full time.  Thirteen percent of the students on the regional campuses are non-traditional</w:t>
      </w:r>
      <w:r w:rsidR="004D4E14">
        <w:rPr>
          <w:rFonts w:eastAsia="Times New Roman"/>
        </w:rPr>
        <w:t>ly aged</w:t>
      </w:r>
      <w:r w:rsidR="000C2650">
        <w:rPr>
          <w:rFonts w:eastAsia="Times New Roman"/>
        </w:rPr>
        <w:t xml:space="preserve"> students; 57% are female, and 43% are male.  The majority of students on the regional campuse</w:t>
      </w:r>
      <w:r w:rsidR="004D4E14">
        <w:rPr>
          <w:rFonts w:eastAsia="Times New Roman"/>
        </w:rPr>
        <w:t>s are place-bound, with no campus housing available</w:t>
      </w:r>
      <w:r w:rsidR="000C2650">
        <w:rPr>
          <w:rFonts w:eastAsia="Times New Roman"/>
        </w:rPr>
        <w:t xml:space="preserve"> on </w:t>
      </w:r>
      <w:r w:rsidR="004D4E14">
        <w:rPr>
          <w:rFonts w:eastAsia="Times New Roman"/>
        </w:rPr>
        <w:t xml:space="preserve">the regional </w:t>
      </w:r>
      <w:r w:rsidR="000C2650">
        <w:rPr>
          <w:rFonts w:eastAsia="Times New Roman"/>
        </w:rPr>
        <w:t>campu</w:t>
      </w:r>
      <w:r w:rsidR="004D4E14">
        <w:rPr>
          <w:rFonts w:eastAsia="Times New Roman"/>
        </w:rPr>
        <w:t>se</w:t>
      </w:r>
      <w:r w:rsidR="000C2650">
        <w:rPr>
          <w:rFonts w:eastAsia="Times New Roman"/>
        </w:rPr>
        <w:t>s.  The students on the regional campuses have a first-year student retention rate of 60% (for the 2012 cohort), and those pursuing bachelor’s degrees in the CPSAS (2007 cohort) have a six-year graduation rate of 25.3% for the Hamilton campus and 20.1% for the Middletown campus.</w:t>
      </w:r>
    </w:p>
    <w:p w:rsidR="005A1179" w:rsidRDefault="007A64A8" w:rsidP="005A1179">
      <w:r>
        <w:t>Because of the priority Miami</w:t>
      </w:r>
      <w:r w:rsidR="005A1179">
        <w:t xml:space="preserve"> place</w:t>
      </w:r>
      <w:r>
        <w:t>s</w:t>
      </w:r>
      <w:r w:rsidR="005A1179">
        <w:t xml:space="preserve"> on student su</w:t>
      </w:r>
      <w:r>
        <w:t>ccess, the first metric of the 2020 P</w:t>
      </w:r>
      <w:r w:rsidR="005A1179">
        <w:t>lan is: “</w:t>
      </w:r>
      <w:r w:rsidR="005A1179" w:rsidRPr="00331178">
        <w:t>Miami will achieve a six-year graduation rate of 85% and a four-year graduation rate of 75%.”</w:t>
      </w:r>
      <w:r w:rsidR="005A1179">
        <w:t xml:space="preserve">  Although the specific numbers for the regional campuses are different, the goal, to increase the graduation rate by 10%, is equally ambitious.</w:t>
      </w:r>
    </w:p>
    <w:p w:rsidR="005A1179" w:rsidRDefault="00DB1089" w:rsidP="005A1179">
      <w:r>
        <w:t>To achieve these</w:t>
      </w:r>
      <w:r w:rsidR="005A1179">
        <w:t xml:space="preserve"> ambitious metric</w:t>
      </w:r>
      <w:r>
        <w:t>s</w:t>
      </w:r>
      <w:r w:rsidR="005A1179">
        <w:t xml:space="preserve">, Miami must </w:t>
      </w:r>
      <w:r w:rsidR="00B83CEC">
        <w:t xml:space="preserve">rely upon best practice and </w:t>
      </w:r>
      <w:r w:rsidR="005A1179">
        <w:t>acknowledge that student success and persistence:</w:t>
      </w:r>
    </w:p>
    <w:p w:rsidR="005A1179" w:rsidRDefault="00DE0E4A" w:rsidP="00F5054C">
      <w:pPr>
        <w:pStyle w:val="ListParagraph"/>
        <w:numPr>
          <w:ilvl w:val="0"/>
          <w:numId w:val="56"/>
        </w:numPr>
        <w:spacing w:before="200"/>
      </w:pPr>
      <w:r>
        <w:t xml:space="preserve">Require </w:t>
      </w:r>
      <w:r w:rsidR="005A1179">
        <w:t>collaboration from all divisi</w:t>
      </w:r>
      <w:r w:rsidR="006B798C">
        <w:t>ons, departments, programs</w:t>
      </w:r>
      <w:r w:rsidR="000A641F">
        <w:t>,</w:t>
      </w:r>
      <w:r w:rsidR="006B798C">
        <w:t xml:space="preserve"> and u</w:t>
      </w:r>
      <w:r w:rsidR="005A1179">
        <w:t>niversity offices;</w:t>
      </w:r>
    </w:p>
    <w:p w:rsidR="005A1179" w:rsidRDefault="00331178" w:rsidP="00F5054C">
      <w:pPr>
        <w:pStyle w:val="ListParagraph"/>
        <w:numPr>
          <w:ilvl w:val="0"/>
          <w:numId w:val="56"/>
        </w:numPr>
        <w:spacing w:before="200"/>
      </w:pPr>
      <w:r>
        <w:t>C</w:t>
      </w:r>
      <w:r w:rsidR="005A1179">
        <w:t>onstitute an on-going process involving continuous evaluation and assessment of efforts and initiatives impacting student success;</w:t>
      </w:r>
    </w:p>
    <w:p w:rsidR="005A1179" w:rsidRDefault="00331178" w:rsidP="00F5054C">
      <w:pPr>
        <w:pStyle w:val="ListParagraph"/>
        <w:numPr>
          <w:ilvl w:val="0"/>
          <w:numId w:val="56"/>
        </w:numPr>
        <w:spacing w:before="200"/>
      </w:pPr>
      <w:r>
        <w:t>A</w:t>
      </w:r>
      <w:r w:rsidR="005A1179">
        <w:t>re not determined by any one factor, but rather by a holistic approach in developing student retention initiatives; and</w:t>
      </w:r>
    </w:p>
    <w:p w:rsidR="005A1179" w:rsidRDefault="00331178" w:rsidP="00F5054C">
      <w:pPr>
        <w:pStyle w:val="ListParagraph"/>
        <w:numPr>
          <w:ilvl w:val="0"/>
          <w:numId w:val="56"/>
        </w:numPr>
        <w:spacing w:before="200"/>
      </w:pPr>
      <w:r>
        <w:t>A</w:t>
      </w:r>
      <w:r w:rsidR="005A1179">
        <w:t>re not goals in and of themselves, but the end result of a campus climate focused on student success.</w:t>
      </w:r>
    </w:p>
    <w:p w:rsidR="00D52E78" w:rsidRDefault="005A1179" w:rsidP="00DE0E4A">
      <w:r w:rsidRPr="00DE0E4A">
        <w:t xml:space="preserve">Miami </w:t>
      </w:r>
      <w:r w:rsidR="00F92321" w:rsidRPr="00DE0E4A">
        <w:t xml:space="preserve">has created three related committees to guide the direction and planning: (1) Undergraduate </w:t>
      </w:r>
      <w:r w:rsidR="00D52E78" w:rsidRPr="00DE0E4A">
        <w:rPr>
          <w:rStyle w:val="Heading6Char"/>
          <w:b w:val="0"/>
          <w:bCs w:val="0"/>
          <w:color w:val="auto"/>
          <w:spacing w:val="0"/>
          <w:shd w:val="clear" w:color="auto" w:fill="auto"/>
        </w:rPr>
        <w:t>Academic Advising Council</w:t>
      </w:r>
      <w:r w:rsidR="00D52E78" w:rsidRPr="00DE0E4A">
        <w:t xml:space="preserve"> </w:t>
      </w:r>
      <w:r w:rsidR="00F92321" w:rsidRPr="00DE0E4A">
        <w:t xml:space="preserve">which </w:t>
      </w:r>
      <w:r w:rsidR="00D52E78" w:rsidRPr="00DE0E4A">
        <w:t xml:space="preserve">was formed in 2008 </w:t>
      </w:r>
      <w:r w:rsidR="00C053A0">
        <w:t>by the p</w:t>
      </w:r>
      <w:r w:rsidR="00F92321" w:rsidRPr="00DE0E4A">
        <w:t>rovost</w:t>
      </w:r>
      <w:r w:rsidR="00D52E78" w:rsidRPr="00DE0E4A">
        <w:t xml:space="preserve"> to oversee the mission of aca</w:t>
      </w:r>
      <w:r w:rsidR="00F92321" w:rsidRPr="00DE0E4A">
        <w:t xml:space="preserve">demic advising at Miami; (2) </w:t>
      </w:r>
      <w:r w:rsidR="00D52E78" w:rsidRPr="00DE0E4A">
        <w:rPr>
          <w:rStyle w:val="Heading6Char"/>
          <w:b w:val="0"/>
          <w:bCs w:val="0"/>
          <w:color w:val="auto"/>
          <w:spacing w:val="0"/>
          <w:shd w:val="clear" w:color="auto" w:fill="auto"/>
        </w:rPr>
        <w:t>University Retention Steering Committee</w:t>
      </w:r>
      <w:r w:rsidR="00D52E78" w:rsidRPr="00DE0E4A">
        <w:t xml:space="preserve"> </w:t>
      </w:r>
      <w:r w:rsidR="00F92321" w:rsidRPr="00DE0E4A">
        <w:t xml:space="preserve">which </w:t>
      </w:r>
      <w:r w:rsidR="00C053A0">
        <w:t xml:space="preserve">was formed in 2012 </w:t>
      </w:r>
      <w:r w:rsidR="00DB1089">
        <w:t>and was renamed “Student Success Committee” in 2014</w:t>
      </w:r>
      <w:r w:rsidR="00D52E78" w:rsidRPr="00DE0E4A">
        <w:t xml:space="preserve"> </w:t>
      </w:r>
      <w:r w:rsidR="00E85D6E" w:rsidRPr="00DE0E4A">
        <w:t xml:space="preserve">to improve Oxford campus retention; and (3) </w:t>
      </w:r>
      <w:r w:rsidR="00D52E78" w:rsidRPr="00DE0E4A">
        <w:rPr>
          <w:rStyle w:val="Heading6Char"/>
          <w:b w:val="0"/>
          <w:bCs w:val="0"/>
          <w:color w:val="auto"/>
          <w:spacing w:val="0"/>
          <w:shd w:val="clear" w:color="auto" w:fill="auto"/>
        </w:rPr>
        <w:t>Regional Strategic Enrollment Team</w:t>
      </w:r>
      <w:r w:rsidR="00D52E78" w:rsidRPr="00DE0E4A">
        <w:t xml:space="preserve"> </w:t>
      </w:r>
      <w:r w:rsidR="00E85D6E" w:rsidRPr="00DE0E4A">
        <w:t xml:space="preserve">which </w:t>
      </w:r>
      <w:r w:rsidR="00D52E78" w:rsidRPr="00DE0E4A">
        <w:t xml:space="preserve">is focused on improving the recruitment and retention on the regional campuses.  </w:t>
      </w:r>
    </w:p>
    <w:p w:rsidR="00DE0E4A" w:rsidRPr="00DE0E4A" w:rsidRDefault="00DE0E4A" w:rsidP="00DE0E4A">
      <w:r>
        <w:t>In addition to the support systems described in the Criterion 3</w:t>
      </w:r>
      <w:r w:rsidR="001F4FF6">
        <w:t>.</w:t>
      </w:r>
      <w:r w:rsidR="00DB1089">
        <w:t>D narrative, Miami has a wide range of strategies discussed below.</w:t>
      </w:r>
    </w:p>
    <w:p w:rsidR="00D52E78" w:rsidRDefault="00D52E78" w:rsidP="003E38DB">
      <w:pPr>
        <w:pStyle w:val="Heading3"/>
        <w:rPr>
          <w:rFonts w:eastAsiaTheme="minorEastAsia"/>
        </w:rPr>
      </w:pPr>
      <w:r>
        <w:rPr>
          <w:rFonts w:eastAsiaTheme="minorEastAsia"/>
        </w:rPr>
        <w:lastRenderedPageBreak/>
        <w:t>Pre-College Programs:</w:t>
      </w:r>
    </w:p>
    <w:p w:rsidR="00AE34B1" w:rsidRDefault="00D52E78" w:rsidP="00AE34B1">
      <w:pPr>
        <w:jc w:val="both"/>
      </w:pPr>
      <w:r>
        <w:t>The Summer Scholars Program, a new initiative beginning in summer 2014, provides a rich, early college experience for academically-talented rising high school juniors and seniors from across the globe. Students engage in a community of learners for an intense, two-week summer program</w:t>
      </w:r>
      <w:r w:rsidR="001F4FF6">
        <w:t>.</w:t>
      </w:r>
    </w:p>
    <w:p w:rsidR="00D52E78" w:rsidRDefault="001F4FF6" w:rsidP="00AE34B1">
      <w:pPr>
        <w:jc w:val="both"/>
      </w:pPr>
      <w:r>
        <w:t xml:space="preserve">Bridges is </w:t>
      </w:r>
      <w:r w:rsidR="00D52E78">
        <w:t>a visit program geared towards high-achieving, diverse high school seniors who are interested in learning more about the educational opportunities available at Miami University. For 2013, Bridges hosted 461 high school students, mostly from Ohio, for an overnight campus visit, which represents a 26 percent increase over previous years. Of those participating, 45 percent now attend Miami.</w:t>
      </w:r>
    </w:p>
    <w:p w:rsidR="00AE34B1" w:rsidRDefault="00D52E78" w:rsidP="003E38DB">
      <w:pPr>
        <w:pStyle w:val="Heading3"/>
        <w:rPr>
          <w:rFonts w:eastAsiaTheme="minorEastAsia"/>
        </w:rPr>
      </w:pPr>
      <w:r>
        <w:rPr>
          <w:rFonts w:eastAsiaTheme="minorEastAsia"/>
        </w:rPr>
        <w:t xml:space="preserve">Competitive Admission: </w:t>
      </w:r>
    </w:p>
    <w:p w:rsidR="00D52E78" w:rsidRPr="00945C97" w:rsidRDefault="00672644" w:rsidP="00945C97">
      <w:pPr>
        <w:rPr>
          <w:rFonts w:eastAsiaTheme="minorEastAsia"/>
        </w:rPr>
      </w:pPr>
      <w:r>
        <w:rPr>
          <w:rFonts w:eastAsiaTheme="minorEastAsia"/>
        </w:rPr>
        <w:t>Because t</w:t>
      </w:r>
      <w:r w:rsidR="00D52E78">
        <w:rPr>
          <w:rFonts w:eastAsiaTheme="minorEastAsia"/>
        </w:rPr>
        <w:t>he number of undergraduate students that can be accommodated is limited by several factors, including the physical capacity of our residence</w:t>
      </w:r>
      <w:r>
        <w:rPr>
          <w:rFonts w:eastAsiaTheme="minorEastAsia"/>
        </w:rPr>
        <w:t xml:space="preserve"> halls and the number of faculty, Miami</w:t>
      </w:r>
      <w:r w:rsidR="00D52E78">
        <w:rPr>
          <w:rFonts w:eastAsiaTheme="minorEastAsia"/>
        </w:rPr>
        <w:t xml:space="preserve"> practice</w:t>
      </w:r>
      <w:r>
        <w:rPr>
          <w:rFonts w:eastAsiaTheme="minorEastAsia"/>
        </w:rPr>
        <w:t>s</w:t>
      </w:r>
      <w:r w:rsidR="00D52E78">
        <w:rPr>
          <w:rFonts w:eastAsiaTheme="minorEastAsia"/>
        </w:rPr>
        <w:t xml:space="preserve"> selective admission. The review process is comprehensive</w:t>
      </w:r>
      <w:r w:rsidR="00C053A0">
        <w:rPr>
          <w:rFonts w:eastAsiaTheme="minorEastAsia"/>
        </w:rPr>
        <w:t>, holistic</w:t>
      </w:r>
      <w:r w:rsidR="00D4000B">
        <w:rPr>
          <w:rFonts w:eastAsiaTheme="minorEastAsia"/>
        </w:rPr>
        <w:t>,</w:t>
      </w:r>
      <w:r w:rsidR="00C053A0">
        <w:rPr>
          <w:rFonts w:eastAsiaTheme="minorEastAsia"/>
        </w:rPr>
        <w:t xml:space="preserve"> and individualized. </w:t>
      </w:r>
      <w:r w:rsidR="00560089">
        <w:rPr>
          <w:rFonts w:eastAsiaTheme="minorEastAsia"/>
        </w:rPr>
        <w:t>R</w:t>
      </w:r>
      <w:r w:rsidR="003C0A33">
        <w:rPr>
          <w:rFonts w:eastAsiaTheme="minorEastAsia"/>
        </w:rPr>
        <w:t>eviewers</w:t>
      </w:r>
      <w:r w:rsidR="00D52E78">
        <w:rPr>
          <w:rFonts w:eastAsiaTheme="minorEastAsia"/>
        </w:rPr>
        <w:t xml:space="preserve"> strive to see the</w:t>
      </w:r>
      <w:r w:rsidR="003C0A33">
        <w:rPr>
          <w:rFonts w:eastAsiaTheme="minorEastAsia"/>
        </w:rPr>
        <w:t>ir interrelationships</w:t>
      </w:r>
      <w:r w:rsidR="00560089">
        <w:rPr>
          <w:rFonts w:eastAsiaTheme="minorEastAsia"/>
        </w:rPr>
        <w:t xml:space="preserve"> of the variables within the application</w:t>
      </w:r>
      <w:r w:rsidR="00D52E78">
        <w:rPr>
          <w:rFonts w:eastAsiaTheme="minorEastAsia"/>
        </w:rPr>
        <w:t xml:space="preserve"> and to establish the context of a student's achievements and demonstrated potential up to this point in his or her life.</w:t>
      </w:r>
      <w:r>
        <w:rPr>
          <w:rFonts w:eastAsiaTheme="minorEastAsia"/>
        </w:rPr>
        <w:t xml:space="preserve"> By taking this holistic approach, Miami’s admission process can purposefully focus</w:t>
      </w:r>
      <w:r w:rsidR="00D52E78">
        <w:rPr>
          <w:rFonts w:eastAsiaTheme="minorEastAsia"/>
        </w:rPr>
        <w:t xml:space="preserve"> on recruiting, admitting, and enrollin</w:t>
      </w:r>
      <w:r w:rsidR="00811795">
        <w:rPr>
          <w:rFonts w:eastAsiaTheme="minorEastAsia"/>
        </w:rPr>
        <w:t>g students who are likely to be retained and graduate on time.</w:t>
      </w:r>
    </w:p>
    <w:p w:rsidR="00945C97" w:rsidRDefault="00D52E78" w:rsidP="003E38DB">
      <w:pPr>
        <w:pStyle w:val="Heading3"/>
        <w:rPr>
          <w:rFonts w:eastAsiaTheme="minorEastAsia"/>
        </w:rPr>
      </w:pPr>
      <w:r>
        <w:rPr>
          <w:rFonts w:eastAsiaTheme="minorEastAsia"/>
        </w:rPr>
        <w:t>Institutional Aid</w:t>
      </w:r>
      <w:r w:rsidR="00A30156">
        <w:rPr>
          <w:rFonts w:eastAsiaTheme="minorEastAsia"/>
        </w:rPr>
        <w:t xml:space="preserve"> &amp; Loan Deb</w:t>
      </w:r>
      <w:r w:rsidR="00BE5495">
        <w:rPr>
          <w:rFonts w:eastAsiaTheme="minorEastAsia"/>
        </w:rPr>
        <w:t>t</w:t>
      </w:r>
      <w:r>
        <w:rPr>
          <w:rFonts w:eastAsiaTheme="minorEastAsia"/>
        </w:rPr>
        <w:t xml:space="preserve">: </w:t>
      </w:r>
    </w:p>
    <w:p w:rsidR="00D52E78" w:rsidRDefault="00560089" w:rsidP="00945C97">
      <w:pPr>
        <w:rPr>
          <w:rFonts w:eastAsiaTheme="minorEastAsia"/>
        </w:rPr>
      </w:pPr>
      <w:r>
        <w:rPr>
          <w:rFonts w:eastAsiaTheme="minorEastAsia"/>
        </w:rPr>
        <w:t xml:space="preserve">Miami </w:t>
      </w:r>
      <w:r w:rsidR="00D52E78">
        <w:rPr>
          <w:rFonts w:eastAsiaTheme="minorEastAsia"/>
        </w:rPr>
        <w:t>strategically leverages institutional aid to meet enrollment and retention goals.  In the fall of 2010, Miami implemented a scholarship program that significantly increased support for its students.  The program recognized both merit and financial need</w:t>
      </w:r>
      <w:r w:rsidR="00D4000B">
        <w:rPr>
          <w:rFonts w:eastAsiaTheme="minorEastAsia"/>
        </w:rPr>
        <w:t>,</w:t>
      </w:r>
      <w:r w:rsidR="00D52E78">
        <w:rPr>
          <w:rFonts w:eastAsiaTheme="minorEastAsia"/>
        </w:rPr>
        <w:t xml:space="preserve"> and for the last several years</w:t>
      </w:r>
      <w:r w:rsidR="00D4000B">
        <w:rPr>
          <w:rFonts w:eastAsiaTheme="minorEastAsia"/>
        </w:rPr>
        <w:t>,</w:t>
      </w:r>
      <w:r w:rsidR="00D52E78">
        <w:rPr>
          <w:rFonts w:eastAsiaTheme="minorEastAsia"/>
        </w:rPr>
        <w:t xml:space="preserve"> about two-third</w:t>
      </w:r>
      <w:r w:rsidR="00811795">
        <w:rPr>
          <w:rFonts w:eastAsiaTheme="minorEastAsia"/>
        </w:rPr>
        <w:t>s</w:t>
      </w:r>
      <w:r w:rsidR="00D52E78">
        <w:rPr>
          <w:rFonts w:eastAsiaTheme="minorEastAsia"/>
        </w:rPr>
        <w:t xml:space="preserve"> of the incoming fall class has received some type of scholarship o</w:t>
      </w:r>
      <w:r w:rsidR="00D4000B">
        <w:rPr>
          <w:rFonts w:eastAsiaTheme="minorEastAsia"/>
        </w:rPr>
        <w:t>r grant</w:t>
      </w:r>
      <w:r w:rsidR="00D52E78">
        <w:rPr>
          <w:rFonts w:eastAsiaTheme="minorEastAsia"/>
        </w:rPr>
        <w:t>.  In 20</w:t>
      </w:r>
      <w:r w:rsidR="00D4000B">
        <w:rPr>
          <w:rFonts w:eastAsiaTheme="minorEastAsia"/>
        </w:rPr>
        <w:t>12-2013, 55% of Miami</w:t>
      </w:r>
      <w:r w:rsidR="00D52E78">
        <w:rPr>
          <w:rFonts w:eastAsiaTheme="minorEastAsia"/>
        </w:rPr>
        <w:t xml:space="preserve"> scholarship dollars went to support students with financial need.  </w:t>
      </w:r>
    </w:p>
    <w:p w:rsidR="00D52E78" w:rsidRDefault="00D4000B" w:rsidP="00BE5495">
      <w:pPr>
        <w:rPr>
          <w:rFonts w:eastAsiaTheme="minorEastAsia"/>
        </w:rPr>
      </w:pPr>
      <w:r>
        <w:rPr>
          <w:rFonts w:eastAsiaTheme="minorEastAsia"/>
        </w:rPr>
        <w:t>Miami</w:t>
      </w:r>
      <w:r w:rsidR="00D52E78">
        <w:rPr>
          <w:rFonts w:eastAsiaTheme="minorEastAsia"/>
        </w:rPr>
        <w:t xml:space="preserve"> continues to carefully monitor student debt at graduation. For the last four years</w:t>
      </w:r>
      <w:r>
        <w:rPr>
          <w:rFonts w:eastAsiaTheme="minorEastAsia"/>
        </w:rPr>
        <w:t>,</w:t>
      </w:r>
      <w:r w:rsidR="00D52E78">
        <w:rPr>
          <w:rFonts w:eastAsiaTheme="minorEastAsia"/>
        </w:rPr>
        <w:t xml:space="preserve"> Miami's student loan indebtedness grew at</w:t>
      </w:r>
      <w:r w:rsidR="00CE49A7">
        <w:rPr>
          <w:rFonts w:eastAsiaTheme="minorEastAsia"/>
        </w:rPr>
        <w:t xml:space="preserve"> 4.6% - the lowest among all Ohio</w:t>
      </w:r>
      <w:r w:rsidR="00D52E78">
        <w:rPr>
          <w:rFonts w:eastAsiaTheme="minorEastAsia"/>
        </w:rPr>
        <w:t xml:space="preserve"> schools providing data.  The growth is also lower than that of the average for all </w:t>
      </w:r>
      <w:r w:rsidR="00D83FE0">
        <w:rPr>
          <w:rFonts w:eastAsiaTheme="minorEastAsia"/>
        </w:rPr>
        <w:t xml:space="preserve">public </w:t>
      </w:r>
      <w:r w:rsidR="00D52E78">
        <w:rPr>
          <w:rFonts w:eastAsiaTheme="minorEastAsia"/>
        </w:rPr>
        <w:t>schools in the state of Ohio (6.7%).  Our 2012 debt at graduation ($27,817 with 55% borrowing) compar</w:t>
      </w:r>
      <w:r w:rsidR="00811795">
        <w:rPr>
          <w:rFonts w:eastAsiaTheme="minorEastAsia"/>
        </w:rPr>
        <w:t>es favorably to Ohio’s average (</w:t>
      </w:r>
      <w:r w:rsidR="00D52E78">
        <w:rPr>
          <w:rFonts w:eastAsiaTheme="minorEastAsia"/>
        </w:rPr>
        <w:t>$29,037 with 69% borrowing</w:t>
      </w:r>
      <w:r w:rsidR="00811795">
        <w:rPr>
          <w:rFonts w:eastAsiaTheme="minorEastAsia"/>
        </w:rPr>
        <w:t>)</w:t>
      </w:r>
      <w:r w:rsidR="00D52E78">
        <w:rPr>
          <w:rFonts w:eastAsiaTheme="minorEastAsia"/>
        </w:rPr>
        <w:t>.</w:t>
      </w:r>
      <w:r w:rsidR="00D223E1">
        <w:rPr>
          <w:rFonts w:eastAsiaTheme="minorEastAsia"/>
        </w:rPr>
        <w:t xml:space="preserve">  </w:t>
      </w:r>
    </w:p>
    <w:p w:rsidR="003E38DB" w:rsidRDefault="003E38DB" w:rsidP="003E38DB">
      <w:pPr>
        <w:pStyle w:val="Heading3"/>
        <w:rPr>
          <w:rStyle w:val="Heading6Char"/>
        </w:rPr>
      </w:pPr>
      <w:r>
        <w:rPr>
          <w:rStyle w:val="Heading6Char"/>
        </w:rPr>
        <w:t>E-Tools:</w:t>
      </w:r>
    </w:p>
    <w:p w:rsidR="00D52E78" w:rsidRPr="00895A8B" w:rsidRDefault="00D52E78" w:rsidP="00895A8B">
      <w:pPr>
        <w:jc w:val="both"/>
        <w:rPr>
          <w:rFonts w:eastAsiaTheme="minorEastAsia"/>
        </w:rPr>
      </w:pPr>
      <w:r w:rsidRPr="005C35DA">
        <w:rPr>
          <w:rStyle w:val="Heading4Char"/>
        </w:rPr>
        <w:t>Degree Audit Report</w:t>
      </w:r>
      <w:r>
        <w:t xml:space="preserve"> </w:t>
      </w:r>
      <w:r w:rsidR="00D223E1">
        <w:t xml:space="preserve">(DAR) </w:t>
      </w:r>
      <w:r>
        <w:t>displays the student’s completed course work and current registration matched with degree requirements of the student’s declared major(s) and minor(s); it identifies deficiencies and lists courses to satisfy specific requirements. The report assists the student and advisor in determining progress toward completion of program requirements and serves as a graduation check.</w:t>
      </w:r>
      <w:r w:rsidR="006E7433" w:rsidRPr="006E7433">
        <w:t xml:space="preserve"> </w:t>
      </w:r>
      <w:r w:rsidR="006E7433">
        <w:t>In 2013, Miami instituted an improve</w:t>
      </w:r>
      <w:r w:rsidR="003E38DB">
        <w:t xml:space="preserve">d version of the DAR which </w:t>
      </w:r>
      <w:r w:rsidR="006E7433">
        <w:t>provide</w:t>
      </w:r>
      <w:r w:rsidR="003E38DB">
        <w:t>s</w:t>
      </w:r>
      <w:r w:rsidR="006E7433">
        <w:t xml:space="preserve"> a more</w:t>
      </w:r>
      <w:r w:rsidR="00D4000B">
        <w:t xml:space="preserve"> graphic and</w:t>
      </w:r>
      <w:r w:rsidR="006E7433">
        <w:t xml:space="preserve"> student-friendly means of understanding one’s progress on meeting degree requirements</w:t>
      </w:r>
      <w:r w:rsidR="003E38DB">
        <w:t>.</w:t>
      </w:r>
    </w:p>
    <w:p w:rsidR="00D223E1" w:rsidRDefault="00D223E1" w:rsidP="00D223E1">
      <w:pPr>
        <w:spacing w:before="200"/>
      </w:pPr>
      <w:r w:rsidRPr="005C35DA">
        <w:rPr>
          <w:rStyle w:val="Heading4Char"/>
        </w:rPr>
        <w:t>Degree Progress and Graduation Management System</w:t>
      </w:r>
      <w:r>
        <w:rPr>
          <w:rStyle w:val="Heading3Char"/>
        </w:rPr>
        <w:t xml:space="preserve">: </w:t>
      </w:r>
      <w:r w:rsidRPr="00DF0B8E">
        <w:t>In 2014, M</w:t>
      </w:r>
      <w:r>
        <w:t xml:space="preserve">iami began implementation of </w:t>
      </w:r>
      <w:r w:rsidRPr="00DF0B8E">
        <w:t>u.Direct, a web application technology designed to enable students and advisors to explore multiple degree paths and identify a four-year</w:t>
      </w:r>
      <w:r>
        <w:t>, term-by-term</w:t>
      </w:r>
      <w:r w:rsidRPr="00DF0B8E">
        <w:t xml:space="preserve"> schedule for success. This system also enables</w:t>
      </w:r>
      <w:r>
        <w:t xml:space="preserve"> chairs and deans to plan course schedules well in advance and ensure that we offer the appropriate number and array of courses to meet student needs.</w:t>
      </w:r>
    </w:p>
    <w:p w:rsidR="00D52E78" w:rsidRDefault="00D52E78" w:rsidP="00895A8B">
      <w:pPr>
        <w:jc w:val="both"/>
      </w:pPr>
      <w:r w:rsidRPr="005C35DA">
        <w:rPr>
          <w:rStyle w:val="Heading4Char"/>
        </w:rPr>
        <w:t>AdvisorTrac</w:t>
      </w:r>
      <w:r w:rsidR="00A03AD4">
        <w:t xml:space="preserve"> was purchased in 2009 and </w:t>
      </w:r>
      <w:r>
        <w:t>is a web-based application that advisors, students</w:t>
      </w:r>
      <w:r w:rsidR="003E38DB">
        <w:t>,</w:t>
      </w:r>
      <w:r w:rsidR="00560089">
        <w:t xml:space="preserve"> and administrators </w:t>
      </w:r>
      <w:r>
        <w:t>use to record advising visits, schedule appointments, and access records.</w:t>
      </w:r>
    </w:p>
    <w:p w:rsidR="00DF0B8E" w:rsidRPr="005C35DA" w:rsidRDefault="00615123" w:rsidP="005C35DA">
      <w:pPr>
        <w:spacing w:before="200"/>
        <w:rPr>
          <w:sz w:val="20"/>
          <w:szCs w:val="20"/>
        </w:rPr>
      </w:pPr>
      <w:r w:rsidRPr="005C35DA">
        <w:rPr>
          <w:rStyle w:val="Heading4Char"/>
        </w:rPr>
        <w:lastRenderedPageBreak/>
        <w:t>Advanced Analytics</w:t>
      </w:r>
      <w:r>
        <w:rPr>
          <w:rStyle w:val="Heading3Char"/>
        </w:rPr>
        <w:t xml:space="preserve">: </w:t>
      </w:r>
      <w:r w:rsidR="00A03AD4">
        <w:t>In 2014, Miami</w:t>
      </w:r>
      <w:r w:rsidR="007B093F">
        <w:t xml:space="preserve"> began piloting the</w:t>
      </w:r>
      <w:r w:rsidRPr="004D0294">
        <w:t xml:space="preserve"> Education Advisory Board’s Student Success Collaborative which provides data analytics and predictive modeling to generate risk ass</w:t>
      </w:r>
      <w:r w:rsidR="00A03AD4">
        <w:t>essments for each Miami student;</w:t>
      </w:r>
      <w:r w:rsidRPr="004D0294">
        <w:t xml:space="preserve"> easily accessible dashboards for advisors; research on best practices</w:t>
      </w:r>
      <w:r>
        <w:t xml:space="preserve"> in college completion; peer benchmarking; and consulting support.</w:t>
      </w:r>
    </w:p>
    <w:p w:rsidR="00D52E78" w:rsidRDefault="00B60B60" w:rsidP="0006327F">
      <w:pPr>
        <w:pStyle w:val="Heading3"/>
        <w:rPr>
          <w:rFonts w:eastAsiaTheme="minorEastAsia"/>
        </w:rPr>
      </w:pPr>
      <w:r>
        <w:rPr>
          <w:rFonts w:eastAsiaTheme="minorEastAsia"/>
        </w:rPr>
        <w:t xml:space="preserve">Curriculum &amp; </w:t>
      </w:r>
      <w:r w:rsidR="00D52E78">
        <w:rPr>
          <w:rFonts w:eastAsiaTheme="minorEastAsia"/>
        </w:rPr>
        <w:t>Academic Support</w:t>
      </w:r>
      <w:r w:rsidR="00895A8B">
        <w:rPr>
          <w:rFonts w:eastAsiaTheme="minorEastAsia"/>
        </w:rPr>
        <w:t>:</w:t>
      </w:r>
    </w:p>
    <w:p w:rsidR="003E38DB" w:rsidRDefault="003E38DB" w:rsidP="005C35DA">
      <w:pPr>
        <w:jc w:val="both"/>
      </w:pPr>
      <w:r w:rsidRPr="005C35DA">
        <w:rPr>
          <w:rStyle w:val="Heading4Char"/>
        </w:rPr>
        <w:t xml:space="preserve">Interventions </w:t>
      </w:r>
      <w:r>
        <w:t>(counseling, academic coaching, enrichment courses) are given to first-year and sophomore students in academic peri</w:t>
      </w:r>
      <w:r w:rsidR="007B093F">
        <w:t>l (i.e., those with less than</w:t>
      </w:r>
      <w:r>
        <w:t xml:space="preserve"> a 2.00 cumulative grade point average) and students returning from academic suspension on the Oxford and regional campuses.  </w:t>
      </w:r>
    </w:p>
    <w:p w:rsidR="006E7433" w:rsidRDefault="00895A8B" w:rsidP="005C35DA">
      <w:pPr>
        <w:spacing w:before="200"/>
      </w:pPr>
      <w:r>
        <w:rPr>
          <w:rStyle w:val="Heading4Char"/>
        </w:rPr>
        <w:t>University-Wide Advisor T</w:t>
      </w:r>
      <w:r w:rsidR="006E7433" w:rsidRPr="00895A8B">
        <w:rPr>
          <w:rStyle w:val="Heading4Char"/>
        </w:rPr>
        <w:t>raining</w:t>
      </w:r>
      <w:r w:rsidR="006E7433">
        <w:t xml:space="preserve"> for all staff and faculty advisors and targeted academic support specialists with required and o</w:t>
      </w:r>
      <w:r w:rsidR="006E4C6F">
        <w:t>ptional portions was</w:t>
      </w:r>
      <w:r w:rsidR="006E7433">
        <w:t xml:space="preserve"> developed </w:t>
      </w:r>
      <w:r w:rsidR="006E4C6F">
        <w:t xml:space="preserve">in 2014 </w:t>
      </w:r>
      <w:r w:rsidR="006E7433">
        <w:t>and implemented</w:t>
      </w:r>
      <w:r w:rsidR="006023A0">
        <w:t xml:space="preserve"> across the university</w:t>
      </w:r>
      <w:r w:rsidR="006E4C6F">
        <w:t xml:space="preserve"> in 2015</w:t>
      </w:r>
      <w:r w:rsidR="006E7433">
        <w:t>.</w:t>
      </w:r>
    </w:p>
    <w:p w:rsidR="006E7433" w:rsidRDefault="006E7433" w:rsidP="005C35DA">
      <w:pPr>
        <w:spacing w:before="200"/>
      </w:pPr>
      <w:r w:rsidRPr="005C35DA">
        <w:rPr>
          <w:rStyle w:val="Heading4Char"/>
        </w:rPr>
        <w:t>Enhanced Recognition</w:t>
      </w:r>
      <w:r w:rsidR="006E4C6F">
        <w:t>: Miami d</w:t>
      </w:r>
      <w:r>
        <w:t>evelop</w:t>
      </w:r>
      <w:r w:rsidR="006E4C6F">
        <w:t>ed</w:t>
      </w:r>
      <w:r>
        <w:t xml:space="preserve"> new advising excellence awards, and institute</w:t>
      </w:r>
      <w:r w:rsidR="006E4C6F">
        <w:t>d</w:t>
      </w:r>
      <w:r>
        <w:t xml:space="preserve"> a “master advisor” designation which comes with modest professional development funds for those who complete all elements of the comprehensive advising training plan.</w:t>
      </w:r>
    </w:p>
    <w:p w:rsidR="00D52E78" w:rsidRDefault="006B3FF3" w:rsidP="005C35DA">
      <w:pPr>
        <w:jc w:val="both"/>
      </w:pPr>
      <w:hyperlink r:id="rId71" w:history="1">
        <w:r w:rsidR="00D52E78" w:rsidRPr="005C35DA">
          <w:rPr>
            <w:rStyle w:val="Heading4Char"/>
          </w:rPr>
          <w:t>University Studies Program</w:t>
        </w:r>
      </w:hyperlink>
      <w:r w:rsidR="00D52E78">
        <w:rPr>
          <w:rStyle w:val="Heading6Char"/>
        </w:rPr>
        <w:t xml:space="preserve"> </w:t>
      </w:r>
      <w:r w:rsidR="006E4C6F">
        <w:t>is an</w:t>
      </w:r>
      <w:r w:rsidR="00D52E78">
        <w:t xml:space="preserve"> intensive advising program</w:t>
      </w:r>
      <w:r w:rsidR="006E4C6F">
        <w:t xml:space="preserve"> (begun in 2013)</w:t>
      </w:r>
      <w:r w:rsidR="00D52E78">
        <w:t xml:space="preserve"> for students who are undecided about their major.  Advising is offered by faculty members specially trained to work with undecided students.</w:t>
      </w:r>
    </w:p>
    <w:p w:rsidR="00811DED" w:rsidRDefault="00811DED" w:rsidP="005C35DA">
      <w:pPr>
        <w:spacing w:before="200"/>
      </w:pPr>
      <w:r w:rsidRPr="005C35DA">
        <w:rPr>
          <w:rStyle w:val="Heading4Char"/>
        </w:rPr>
        <w:t>Transition Course</w:t>
      </w:r>
      <w:r>
        <w:t>: A new First-Year</w:t>
      </w:r>
      <w:r w:rsidR="006E4C6F">
        <w:t xml:space="preserve"> Experience (FYE) course was recently</w:t>
      </w:r>
      <w:r>
        <w:t xml:space="preserve"> developed </w:t>
      </w:r>
      <w:r w:rsidR="00895A8B">
        <w:t xml:space="preserve">and </w:t>
      </w:r>
      <w:r>
        <w:t>provide</w:t>
      </w:r>
      <w:r w:rsidR="006E4C6F">
        <w:t>s</w:t>
      </w:r>
      <w:r>
        <w:t xml:space="preserve"> an overview of liberal education, promote</w:t>
      </w:r>
      <w:r w:rsidR="006E4C6F">
        <w:t>s</w:t>
      </w:r>
      <w:r>
        <w:t xml:space="preserve"> personal and social responsibility, and educate</w:t>
      </w:r>
      <w:r w:rsidR="006E4C6F">
        <w:t>s</w:t>
      </w:r>
      <w:r>
        <w:t xml:space="preserve"> students about the advising and other support resources within their division, campus</w:t>
      </w:r>
      <w:r w:rsidR="006023A0">
        <w:t>, and u</w:t>
      </w:r>
      <w:r>
        <w:t>niversity.</w:t>
      </w:r>
      <w:r w:rsidR="006E4C6F">
        <w:t xml:space="preserve"> A pilot of this course was offered in fall 2014.</w:t>
      </w:r>
    </w:p>
    <w:p w:rsidR="00811DED" w:rsidRDefault="00811DED" w:rsidP="005C35DA">
      <w:pPr>
        <w:spacing w:before="200"/>
      </w:pPr>
      <w:r w:rsidRPr="005C35DA">
        <w:rPr>
          <w:rStyle w:val="Heading4Char"/>
        </w:rPr>
        <w:t>University Academic Scholars Programs</w:t>
      </w:r>
      <w:r>
        <w:rPr>
          <w:rStyle w:val="Heading6Char"/>
        </w:rPr>
        <w:t xml:space="preserve"> </w:t>
      </w:r>
      <w:r w:rsidR="007D4612">
        <w:t>were</w:t>
      </w:r>
      <w:r>
        <w:t xml:space="preserve"> launched </w:t>
      </w:r>
      <w:r w:rsidR="007D4612">
        <w:t xml:space="preserve">in 2013 and 2014 </w:t>
      </w:r>
      <w:r>
        <w:t>to provide enrichment and support for high-ability students pursuing particular areas of study (e.g., pre-</w:t>
      </w:r>
      <w:r w:rsidR="00CE49A7">
        <w:t>law, global studies, sustainability</w:t>
      </w:r>
      <w:r>
        <w:t>).  These programs allow Miami to attract and retain greater numbers of high-ability students beyond those enrolled in the University Honors Program.</w:t>
      </w:r>
    </w:p>
    <w:p w:rsidR="00811DED" w:rsidRDefault="00811DED" w:rsidP="005C35DA">
      <w:pPr>
        <w:spacing w:before="200"/>
      </w:pPr>
      <w:r w:rsidRPr="005C35DA">
        <w:rPr>
          <w:rStyle w:val="Heading4Char"/>
        </w:rPr>
        <w:t>Additional Degree Programs for Nontraditional Students</w:t>
      </w:r>
      <w:r>
        <w:t>: The College of Professiona</w:t>
      </w:r>
      <w:r w:rsidR="007D4612">
        <w:t>l Studies &amp; Applied Studies has developed</w:t>
      </w:r>
      <w:r>
        <w:t xml:space="preserve"> several new degree programs that are targeted at nontraditional and adult learners, including bachelor degrees in forensic sciences and civic and regional development.</w:t>
      </w:r>
      <w:r w:rsidR="0028371E" w:rsidRPr="0028371E">
        <w:t xml:space="preserve"> </w:t>
      </w:r>
      <w:r w:rsidR="0028371E">
        <w:t>A team of faculty is designing a new degree completio</w:t>
      </w:r>
      <w:r w:rsidR="006023A0">
        <w:t>n program, tentatively titled “liberal s</w:t>
      </w:r>
      <w:r w:rsidR="0028371E">
        <w:t>tudies,” which will be offered in the Department of Integrative Studies of the College of Professional Studies &amp; Applied Sciences, located on the regional campuses.  This program will be aimed at students with more than 120 academic credits who have not graduated within six years.  The program will be offered in a hybrid or online format.</w:t>
      </w:r>
    </w:p>
    <w:p w:rsidR="00811DED" w:rsidRDefault="00811DED" w:rsidP="005C35DA">
      <w:pPr>
        <w:spacing w:before="200"/>
      </w:pPr>
      <w:r w:rsidRPr="005C35DA">
        <w:rPr>
          <w:rStyle w:val="Heading4Char"/>
        </w:rPr>
        <w:t>Winter Term</w:t>
      </w:r>
      <w:r>
        <w:t>: In 2014, Miami offered its first winter term.  Among meeting other goals, the winter term is designed to assist students in meeti</w:t>
      </w:r>
      <w:r w:rsidR="007D4612">
        <w:t>ng degree requirements in a</w:t>
      </w:r>
      <w:r>
        <w:t xml:space="preserve"> timely manner.</w:t>
      </w:r>
      <w:r w:rsidR="005B5394">
        <w:t xml:space="preserve"> In winter term 2014, 93 students were able to graduate.</w:t>
      </w:r>
    </w:p>
    <w:p w:rsidR="00B60B60" w:rsidRDefault="00B60B60" w:rsidP="005C35DA">
      <w:pPr>
        <w:spacing w:before="200"/>
      </w:pPr>
      <w:r w:rsidRPr="005C35DA">
        <w:rPr>
          <w:rStyle w:val="Heading4Char"/>
        </w:rPr>
        <w:t>E-learning Initiative</w:t>
      </w:r>
      <w:r>
        <w:t>: With the recent hiring of a new assistant provost for e-learning, Miami will be selectively developing new online degree programs and online/hybrid courses to enable greater flexibility and degree pathways for students.</w:t>
      </w:r>
    </w:p>
    <w:p w:rsidR="00D52E78" w:rsidRDefault="00D52E78" w:rsidP="0006327F">
      <w:pPr>
        <w:pStyle w:val="Heading3"/>
        <w:rPr>
          <w:rFonts w:eastAsiaTheme="minorEastAsia"/>
        </w:rPr>
      </w:pPr>
      <w:r>
        <w:rPr>
          <w:rFonts w:eastAsiaTheme="minorEastAsia"/>
        </w:rPr>
        <w:lastRenderedPageBreak/>
        <w:t>Policies &amp; Procedures</w:t>
      </w:r>
      <w:r w:rsidR="00895A8B">
        <w:rPr>
          <w:rFonts w:eastAsiaTheme="minorEastAsia"/>
        </w:rPr>
        <w:t>:</w:t>
      </w:r>
    </w:p>
    <w:p w:rsidR="007D4612" w:rsidRPr="007D4612" w:rsidRDefault="007D4612" w:rsidP="007D4612">
      <w:r>
        <w:t>Key policies and procedures aimed at promoting retention that were developed in the last ten years include:</w:t>
      </w:r>
    </w:p>
    <w:p w:rsidR="00D52E78" w:rsidRPr="005C35DA" w:rsidRDefault="00D52E78" w:rsidP="005C35DA">
      <w:pPr>
        <w:jc w:val="both"/>
        <w:rPr>
          <w:rFonts w:eastAsiaTheme="minorEastAsia"/>
        </w:rPr>
      </w:pPr>
      <w:r w:rsidRPr="005C35DA">
        <w:rPr>
          <w:rStyle w:val="Heading4Char"/>
        </w:rPr>
        <w:t>Required two-year on–campus residency</w:t>
      </w:r>
      <w:r w:rsidR="007F1642">
        <w:t xml:space="preserve"> on the Oxford campus </w:t>
      </w:r>
      <w:r>
        <w:t>which include</w:t>
      </w:r>
      <w:r w:rsidR="007D4612">
        <w:t>s</w:t>
      </w:r>
      <w:r>
        <w:t xml:space="preserve"> intentional co-curricular programming within the residence halls to promote learning and build a sense of community</w:t>
      </w:r>
      <w:r w:rsidR="0028371E">
        <w:t>.</w:t>
      </w:r>
    </w:p>
    <w:p w:rsidR="00D52E78" w:rsidRDefault="00D52E78" w:rsidP="005C35DA">
      <w:pPr>
        <w:jc w:val="both"/>
      </w:pPr>
      <w:r w:rsidRPr="005C35DA">
        <w:rPr>
          <w:rStyle w:val="Heading4Char"/>
        </w:rPr>
        <w:t>Course repeat (grade forgiveness) policy</w:t>
      </w:r>
      <w:r>
        <w:t xml:space="preserve"> to enable students to repeat a course in which they receive a low grade and have the lower grade dropped</w:t>
      </w:r>
      <w:r w:rsidR="0028371E">
        <w:t>.</w:t>
      </w:r>
      <w:r w:rsidR="005B5394">
        <w:t xml:space="preserve">  Approximately 100 students apply this policy each term.</w:t>
      </w:r>
    </w:p>
    <w:p w:rsidR="009173A8" w:rsidRPr="005C35DA" w:rsidRDefault="009173A8" w:rsidP="005C35DA">
      <w:pPr>
        <w:spacing w:before="200"/>
        <w:rPr>
          <w:rFonts w:eastAsiaTheme="minorEastAsia"/>
        </w:rPr>
      </w:pPr>
      <w:r w:rsidRPr="005C35DA">
        <w:rPr>
          <w:rStyle w:val="Heading4Char"/>
        </w:rPr>
        <w:t>Revision of Mid-Term Grade Policy</w:t>
      </w:r>
      <w:r>
        <w:t>: Effective fal</w:t>
      </w:r>
      <w:r w:rsidR="00F0710B">
        <w:t>l 2014, a revised policy was</w:t>
      </w:r>
      <w:r>
        <w:t xml:space="preserve"> enacted so that students who have earned 45</w:t>
      </w:r>
      <w:r w:rsidR="00F0710B">
        <w:t xml:space="preserve"> or fewer credits at Miami </w:t>
      </w:r>
      <w:r>
        <w:t>receive mid-term</w:t>
      </w:r>
      <w:r w:rsidR="00F0710B">
        <w:t xml:space="preserve"> grades (compared to the previous policy which enabled</w:t>
      </w:r>
      <w:r>
        <w:t xml:space="preserve"> students with 16 or fewer credits earned at Miami or elsewhere to receive midterm grade</w:t>
      </w:r>
      <w:r w:rsidR="00F0710B">
        <w:t>s). In addition, faculty are</w:t>
      </w:r>
      <w:r>
        <w:t xml:space="preserve"> strongly encouraged to supply midterm grades for all other students.</w:t>
      </w:r>
    </w:p>
    <w:p w:rsidR="009173A8" w:rsidRDefault="009173A8" w:rsidP="005C35DA">
      <w:pPr>
        <w:spacing w:before="200"/>
      </w:pPr>
      <w:r w:rsidRPr="005C35DA">
        <w:rPr>
          <w:rStyle w:val="Heading4Char"/>
        </w:rPr>
        <w:t>Reduction of Required Credit Hours for Graduation</w:t>
      </w:r>
      <w:r>
        <w:t>: Miami is currently exploring ways of reducing the semester credit hour requirement for graduation from its current 128 credit hour requirement</w:t>
      </w:r>
      <w:r w:rsidR="005B5394">
        <w:t xml:space="preserve"> to align with OBOR expectations</w:t>
      </w:r>
      <w:r>
        <w:t>.</w:t>
      </w:r>
    </w:p>
    <w:p w:rsidR="009173A8" w:rsidRDefault="009173A8" w:rsidP="007F1642">
      <w:pPr>
        <w:spacing w:before="200"/>
      </w:pPr>
      <w:r w:rsidRPr="007F1642">
        <w:rPr>
          <w:rStyle w:val="Heading4Char"/>
        </w:rPr>
        <w:t>Reduction of Credit Hour Requirement for Relocation to Oxford Campus</w:t>
      </w:r>
      <w:r>
        <w:t>: Miami recently reduced the number of credits, from 20 to 16 credits, required for students to relocate from th</w:t>
      </w:r>
      <w:r w:rsidR="00D7389A">
        <w:t xml:space="preserve">e regional campuses to the </w:t>
      </w:r>
      <w:r>
        <w:t xml:space="preserve">Oxford campus.  </w:t>
      </w:r>
      <w:r w:rsidR="00F0710B">
        <w:t xml:space="preserve">The goal of this change is to increase the </w:t>
      </w:r>
      <w:r>
        <w:t>number of students relocating to the Oxford campus to complete bachelor</w:t>
      </w:r>
      <w:r w:rsidR="00D7389A">
        <w:t>’s</w:t>
      </w:r>
      <w:r>
        <w:t xml:space="preserve"> degrees </w:t>
      </w:r>
      <w:r w:rsidR="00F0710B">
        <w:t xml:space="preserve">that are </w:t>
      </w:r>
      <w:r>
        <w:t>offered only on the main campus.</w:t>
      </w:r>
    </w:p>
    <w:p w:rsidR="009173A8" w:rsidRDefault="009173A8" w:rsidP="007F1642">
      <w:pPr>
        <w:spacing w:before="200"/>
      </w:pPr>
      <w:r w:rsidRPr="007F1642">
        <w:rPr>
          <w:rStyle w:val="Heading4Char"/>
        </w:rPr>
        <w:t>Annual Curricular Review and Elimination of Courses</w:t>
      </w:r>
      <w:r>
        <w:t xml:space="preserve">: Departments and divisions </w:t>
      </w:r>
      <w:r w:rsidR="00F0710B">
        <w:t xml:space="preserve">are now required to </w:t>
      </w:r>
      <w:r>
        <w:t>review and eliminate under-enrolled or outdated courses and degree programs annually to enable a more accurate listing of courses and streamlining of curriculum.</w:t>
      </w:r>
    </w:p>
    <w:p w:rsidR="009173A8" w:rsidRDefault="009173A8" w:rsidP="007F1642">
      <w:pPr>
        <w:spacing w:before="200"/>
      </w:pPr>
      <w:r w:rsidRPr="007F1642">
        <w:rPr>
          <w:rStyle w:val="Heading4Char"/>
        </w:rPr>
        <w:t>Multi-Term Course Scheduling and Registration</w:t>
      </w:r>
      <w:r>
        <w:t>: Beginning</w:t>
      </w:r>
      <w:r w:rsidR="00D7389A">
        <w:t xml:space="preserve"> in 2014, the u</w:t>
      </w:r>
      <w:r w:rsidR="00F0710B">
        <w:t>niversity began</w:t>
      </w:r>
      <w:r>
        <w:t xml:space="preserve"> moving progressively toward a multi-term course scheduling and registration process to enable purposeful curricular planning and more accurate advisement.</w:t>
      </w:r>
    </w:p>
    <w:p w:rsidR="009173A8" w:rsidRDefault="009173A8" w:rsidP="007F1642">
      <w:pPr>
        <w:spacing w:before="200"/>
      </w:pPr>
      <w:r w:rsidRPr="00F0710B">
        <w:rPr>
          <w:rStyle w:val="Heading4Char"/>
        </w:rPr>
        <w:t>Revision of the Policy for Academic Integrity and Additional Training for Faculty</w:t>
      </w:r>
      <w:r w:rsidR="00250CC5">
        <w:t xml:space="preserve"> was completed in 2014 to</w:t>
      </w:r>
      <w:r>
        <w:t xml:space="preserve"> include more opportunities for faculty to educate students about academic integrity.</w:t>
      </w:r>
    </w:p>
    <w:p w:rsidR="009173A8" w:rsidRPr="0006327F" w:rsidRDefault="009173A8" w:rsidP="0006327F">
      <w:pPr>
        <w:pStyle w:val="Heading3"/>
        <w:rPr>
          <w:rStyle w:val="Strong"/>
          <w:b w:val="0"/>
          <w:bCs w:val="0"/>
        </w:rPr>
      </w:pPr>
      <w:r w:rsidRPr="0006327F">
        <w:rPr>
          <w:rStyle w:val="Strong"/>
          <w:b w:val="0"/>
          <w:bCs w:val="0"/>
        </w:rPr>
        <w:t>Transfer &amp; Articulation</w:t>
      </w:r>
      <w:r w:rsidR="00895A8B">
        <w:rPr>
          <w:rStyle w:val="Strong"/>
          <w:b w:val="0"/>
          <w:bCs w:val="0"/>
        </w:rPr>
        <w:t>:</w:t>
      </w:r>
    </w:p>
    <w:p w:rsidR="009173A8" w:rsidRDefault="009173A8" w:rsidP="007F1642">
      <w:pPr>
        <w:spacing w:before="200"/>
      </w:pPr>
      <w:r w:rsidRPr="007F1642">
        <w:rPr>
          <w:rStyle w:val="Heading4Char"/>
        </w:rPr>
        <w:t>Partnerships Coordination</w:t>
      </w:r>
      <w:r w:rsidR="00250CC5">
        <w:t>: In 2013, Miami</w:t>
      </w:r>
      <w:r>
        <w:t xml:space="preserve"> formed an Academic Partnerships Committee to create consistent policy and processes, enable university-wide coordination of efforts, and ensure best practices in forging and sustaining partnerships with schools, colleges</w:t>
      </w:r>
      <w:r w:rsidR="007F1642">
        <w:t>,</w:t>
      </w:r>
      <w:r>
        <w:t xml:space="preserve"> and universities a</w:t>
      </w:r>
      <w:r w:rsidR="00D7389A">
        <w:t xml:space="preserve">cross Ohio, the nation, and </w:t>
      </w:r>
      <w:r>
        <w:t>world.</w:t>
      </w:r>
    </w:p>
    <w:p w:rsidR="009173A8" w:rsidRPr="007F1642" w:rsidRDefault="009173A8" w:rsidP="007F1642">
      <w:pPr>
        <w:spacing w:before="200"/>
        <w:rPr>
          <w:rStyle w:val="Strong"/>
          <w:b w:val="0"/>
          <w:smallCaps/>
          <w:spacing w:val="5"/>
        </w:rPr>
      </w:pPr>
      <w:r w:rsidRPr="007F1642">
        <w:rPr>
          <w:rStyle w:val="Heading4Char"/>
        </w:rPr>
        <w:t>Intensive Partnerships with Selective Colleges &amp; Universities</w:t>
      </w:r>
      <w:r>
        <w:t>: Key partners</w:t>
      </w:r>
      <w:r w:rsidR="00250CC5">
        <w:t>hips and success plans have been</w:t>
      </w:r>
      <w:r>
        <w:t xml:space="preserve"> developed with important feeder schools, such as Columbus State Community College and Sinclair Community College, to boost transfer populations and eas</w:t>
      </w:r>
      <w:r w:rsidR="00CE49A7">
        <w:t>e the transition to</w:t>
      </w:r>
      <w:r>
        <w:t xml:space="preserve"> Miami</w:t>
      </w:r>
      <w:r w:rsidR="0028371E">
        <w:t>.</w:t>
      </w:r>
      <w:r w:rsidR="00884D64">
        <w:t xml:space="preserve"> In addition, Miami participates in the OBOR “Credit When It’s Due” initiative which helps students from Ohio two-year institutions receive their associate degree after transferring to a four-year college or university.</w:t>
      </w:r>
    </w:p>
    <w:p w:rsidR="009173A8" w:rsidRDefault="009173A8" w:rsidP="007F1642">
      <w:pPr>
        <w:spacing w:before="200"/>
      </w:pPr>
      <w:r w:rsidRPr="007F1642">
        <w:rPr>
          <w:rStyle w:val="Heading4Char"/>
        </w:rPr>
        <w:t>Enhanced Website for Transfer and Relocation Students</w:t>
      </w:r>
      <w:r w:rsidR="00250CC5">
        <w:t xml:space="preserve"> is being created to clarify important information about the process steps and support systems.</w:t>
      </w:r>
    </w:p>
    <w:p w:rsidR="00FC3EC7" w:rsidRDefault="00FC3EC7" w:rsidP="00EA6BA5">
      <w:r>
        <w:lastRenderedPageBreak/>
        <w:t>A</w:t>
      </w:r>
      <w:r w:rsidR="00EA6BA5">
        <w:t xml:space="preserve">reas for improvement and </w:t>
      </w:r>
      <w:r>
        <w:t>challenges</w:t>
      </w:r>
      <w:r w:rsidR="00EA6BA5">
        <w:t xml:space="preserve"> related to this criterion</w:t>
      </w:r>
      <w:r>
        <w:t xml:space="preserve"> include:</w:t>
      </w:r>
    </w:p>
    <w:p w:rsidR="00FC3EC7" w:rsidRDefault="00FC3EC7" w:rsidP="00F5054C">
      <w:pPr>
        <w:pStyle w:val="ListParagraph"/>
        <w:numPr>
          <w:ilvl w:val="0"/>
          <w:numId w:val="57"/>
        </w:numPr>
      </w:pPr>
      <w:r>
        <w:t>Obtaining</w:t>
      </w:r>
      <w:r w:rsidR="00CB44A2">
        <w:t xml:space="preserve"> and disseminating</w:t>
      </w:r>
      <w:r>
        <w:t xml:space="preserve"> reliable disaggregated data to track student success</w:t>
      </w:r>
      <w:r w:rsidR="00B60B60">
        <w:t>;</w:t>
      </w:r>
    </w:p>
    <w:p w:rsidR="00FC3EC7" w:rsidRDefault="00FC3EC7" w:rsidP="00F5054C">
      <w:pPr>
        <w:pStyle w:val="ListParagraph"/>
        <w:numPr>
          <w:ilvl w:val="0"/>
          <w:numId w:val="57"/>
        </w:numPr>
      </w:pPr>
      <w:r>
        <w:t xml:space="preserve">Balancing </w:t>
      </w:r>
      <w:r w:rsidR="00B60B60">
        <w:t xml:space="preserve">the </w:t>
      </w:r>
      <w:r>
        <w:t>net tuition revenue with expectations for academic quality and diversity and a base enrolling class of 3600</w:t>
      </w:r>
      <w:r w:rsidR="00B60B60">
        <w:t>;</w:t>
      </w:r>
    </w:p>
    <w:p w:rsidR="00FC3EC7" w:rsidRDefault="00FC3EC7" w:rsidP="00F5054C">
      <w:pPr>
        <w:pStyle w:val="ListParagraph"/>
        <w:numPr>
          <w:ilvl w:val="0"/>
          <w:numId w:val="57"/>
        </w:numPr>
      </w:pPr>
      <w:r>
        <w:t>Allocating appropriate resources to increase the six-year graduation rate</w:t>
      </w:r>
      <w:r w:rsidR="00B60B60">
        <w:t>;</w:t>
      </w:r>
    </w:p>
    <w:p w:rsidR="00FC3EC7" w:rsidRPr="00FC3EC7" w:rsidRDefault="00FC3EC7" w:rsidP="00F5054C">
      <w:pPr>
        <w:pStyle w:val="ListParagraph"/>
        <w:numPr>
          <w:ilvl w:val="0"/>
          <w:numId w:val="57"/>
        </w:numPr>
      </w:pPr>
      <w:r w:rsidRPr="00FC3EC7">
        <w:t>Maintaining a sense of urgency around this criterion when Miami already enjoys a high graduation rate.</w:t>
      </w:r>
    </w:p>
    <w:p w:rsidR="00FC3EC7" w:rsidRDefault="00FC3EC7" w:rsidP="00FC3EC7">
      <w:pPr>
        <w:pStyle w:val="Heading2"/>
      </w:pPr>
      <w:r>
        <w:t>Sources</w:t>
      </w:r>
    </w:p>
    <w:p w:rsidR="00FC3EC7" w:rsidRPr="00724836" w:rsidRDefault="00FC3EC7" w:rsidP="000945E2">
      <w:pPr>
        <w:pStyle w:val="NoSpacing"/>
        <w:numPr>
          <w:ilvl w:val="0"/>
          <w:numId w:val="11"/>
        </w:numPr>
        <w:ind w:left="252" w:hanging="252"/>
        <w:rPr>
          <w:sz w:val="20"/>
          <w:szCs w:val="20"/>
        </w:rPr>
      </w:pPr>
      <w:r w:rsidRPr="00724836">
        <w:rPr>
          <w:sz w:val="20"/>
          <w:szCs w:val="20"/>
        </w:rPr>
        <w:t>Miami 2020 Plan goals and metrics; strategies and plans from departments and divisions</w:t>
      </w:r>
    </w:p>
    <w:p w:rsidR="00FC3EC7" w:rsidRPr="00724836" w:rsidRDefault="00FC3EC7" w:rsidP="000945E2">
      <w:pPr>
        <w:pStyle w:val="NoSpacing"/>
        <w:numPr>
          <w:ilvl w:val="0"/>
          <w:numId w:val="11"/>
        </w:numPr>
        <w:ind w:left="252" w:hanging="252"/>
        <w:rPr>
          <w:sz w:val="20"/>
          <w:szCs w:val="20"/>
        </w:rPr>
      </w:pPr>
      <w:r w:rsidRPr="00724836">
        <w:rPr>
          <w:sz w:val="20"/>
          <w:szCs w:val="20"/>
        </w:rPr>
        <w:t>Graduation and Retention Rates [http://www.units.muohio.edu/oir/FactBook/FB200910/GradRetn/GradRetnMain.html]</w:t>
      </w:r>
    </w:p>
    <w:p w:rsidR="00FC3EC7" w:rsidRPr="00724836" w:rsidRDefault="00FC3EC7" w:rsidP="000945E2">
      <w:pPr>
        <w:pStyle w:val="NoSpacing"/>
        <w:numPr>
          <w:ilvl w:val="0"/>
          <w:numId w:val="11"/>
        </w:numPr>
        <w:ind w:left="252" w:hanging="252"/>
        <w:rPr>
          <w:sz w:val="20"/>
          <w:szCs w:val="20"/>
        </w:rPr>
      </w:pPr>
      <w:r w:rsidRPr="00724836">
        <w:rPr>
          <w:sz w:val="20"/>
          <w:szCs w:val="20"/>
        </w:rPr>
        <w:t>Enrollment Management, public presentations and reports which include goals for student retention, persistence, time to degree; evidence and plans for improvement using data</w:t>
      </w:r>
    </w:p>
    <w:p w:rsidR="00FC3EC7" w:rsidRPr="00724836" w:rsidRDefault="00FC3EC7" w:rsidP="000945E2">
      <w:pPr>
        <w:pStyle w:val="NoSpacing"/>
        <w:numPr>
          <w:ilvl w:val="0"/>
          <w:numId w:val="11"/>
        </w:numPr>
        <w:ind w:left="252" w:hanging="252"/>
        <w:rPr>
          <w:sz w:val="20"/>
          <w:szCs w:val="20"/>
        </w:rPr>
      </w:pPr>
      <w:r w:rsidRPr="00724836">
        <w:rPr>
          <w:sz w:val="20"/>
          <w:szCs w:val="20"/>
        </w:rPr>
        <w:t>Retenti</w:t>
      </w:r>
      <w:r w:rsidR="00DA35D4">
        <w:rPr>
          <w:sz w:val="20"/>
          <w:szCs w:val="20"/>
        </w:rPr>
        <w:t>on Committee Report</w:t>
      </w:r>
      <w:r w:rsidR="003112D8">
        <w:rPr>
          <w:sz w:val="20"/>
          <w:szCs w:val="20"/>
        </w:rPr>
        <w:t>s</w:t>
      </w:r>
    </w:p>
    <w:p w:rsidR="00FC3EC7" w:rsidRDefault="00FC3EC7" w:rsidP="000945E2">
      <w:pPr>
        <w:pStyle w:val="NoSpacing"/>
        <w:numPr>
          <w:ilvl w:val="0"/>
          <w:numId w:val="11"/>
        </w:numPr>
        <w:ind w:left="252" w:hanging="252"/>
        <w:rPr>
          <w:sz w:val="20"/>
          <w:szCs w:val="20"/>
        </w:rPr>
      </w:pPr>
      <w:r w:rsidRPr="00724836">
        <w:rPr>
          <w:sz w:val="20"/>
          <w:szCs w:val="20"/>
        </w:rPr>
        <w:t>UAAC reports and minutes</w:t>
      </w:r>
    </w:p>
    <w:p w:rsidR="003112D8" w:rsidRDefault="003112D8" w:rsidP="000945E2">
      <w:pPr>
        <w:pStyle w:val="NoSpacing"/>
        <w:numPr>
          <w:ilvl w:val="0"/>
          <w:numId w:val="11"/>
        </w:numPr>
        <w:ind w:left="252" w:hanging="252"/>
        <w:rPr>
          <w:sz w:val="20"/>
          <w:szCs w:val="20"/>
        </w:rPr>
      </w:pPr>
      <w:r>
        <w:rPr>
          <w:sz w:val="20"/>
          <w:szCs w:val="20"/>
        </w:rPr>
        <w:t>Summer Scholar Proposal</w:t>
      </w:r>
    </w:p>
    <w:p w:rsidR="003112D8" w:rsidRDefault="003112D8" w:rsidP="000945E2">
      <w:pPr>
        <w:pStyle w:val="NoSpacing"/>
        <w:numPr>
          <w:ilvl w:val="0"/>
          <w:numId w:val="11"/>
        </w:numPr>
        <w:ind w:left="252" w:hanging="252"/>
        <w:rPr>
          <w:sz w:val="20"/>
          <w:szCs w:val="20"/>
        </w:rPr>
      </w:pPr>
      <w:r>
        <w:rPr>
          <w:sz w:val="20"/>
          <w:szCs w:val="20"/>
        </w:rPr>
        <w:t>Bridges reports</w:t>
      </w:r>
    </w:p>
    <w:p w:rsidR="003112D8" w:rsidRDefault="003112D8" w:rsidP="000945E2">
      <w:pPr>
        <w:pStyle w:val="NoSpacing"/>
        <w:numPr>
          <w:ilvl w:val="0"/>
          <w:numId w:val="11"/>
        </w:numPr>
        <w:ind w:left="252" w:hanging="252"/>
        <w:rPr>
          <w:sz w:val="20"/>
          <w:szCs w:val="20"/>
        </w:rPr>
      </w:pPr>
      <w:r>
        <w:rPr>
          <w:sz w:val="20"/>
          <w:szCs w:val="20"/>
        </w:rPr>
        <w:t>FYE proposal and sample syllabus</w:t>
      </w:r>
    </w:p>
    <w:p w:rsidR="003112D8" w:rsidRDefault="003112D8" w:rsidP="000945E2">
      <w:pPr>
        <w:pStyle w:val="NoSpacing"/>
        <w:numPr>
          <w:ilvl w:val="0"/>
          <w:numId w:val="11"/>
        </w:numPr>
        <w:ind w:left="252" w:hanging="252"/>
        <w:rPr>
          <w:sz w:val="20"/>
          <w:szCs w:val="20"/>
        </w:rPr>
      </w:pPr>
      <w:r>
        <w:rPr>
          <w:sz w:val="20"/>
          <w:szCs w:val="20"/>
        </w:rPr>
        <w:t>Degree Completion Program plans (Whitney Womack Smith)</w:t>
      </w:r>
    </w:p>
    <w:p w:rsidR="00D61963" w:rsidRDefault="00D61963" w:rsidP="000945E2">
      <w:pPr>
        <w:pStyle w:val="NoSpacing"/>
        <w:numPr>
          <w:ilvl w:val="0"/>
          <w:numId w:val="11"/>
        </w:numPr>
        <w:ind w:left="252" w:hanging="252"/>
        <w:rPr>
          <w:sz w:val="20"/>
          <w:szCs w:val="20"/>
        </w:rPr>
      </w:pPr>
      <w:r>
        <w:rPr>
          <w:sz w:val="20"/>
          <w:szCs w:val="20"/>
        </w:rPr>
        <w:t>Description of academic intervention procedures</w:t>
      </w:r>
    </w:p>
    <w:p w:rsidR="00D61963" w:rsidRDefault="00D61963" w:rsidP="000945E2">
      <w:pPr>
        <w:pStyle w:val="NoSpacing"/>
        <w:numPr>
          <w:ilvl w:val="0"/>
          <w:numId w:val="11"/>
        </w:numPr>
        <w:ind w:left="252" w:hanging="252"/>
        <w:rPr>
          <w:sz w:val="20"/>
          <w:szCs w:val="20"/>
        </w:rPr>
      </w:pPr>
      <w:r>
        <w:rPr>
          <w:sz w:val="20"/>
          <w:szCs w:val="20"/>
        </w:rPr>
        <w:t>Advisor training description</w:t>
      </w:r>
    </w:p>
    <w:p w:rsidR="00D61963" w:rsidRDefault="00D61963" w:rsidP="000945E2">
      <w:pPr>
        <w:pStyle w:val="NoSpacing"/>
        <w:numPr>
          <w:ilvl w:val="0"/>
          <w:numId w:val="11"/>
        </w:numPr>
        <w:ind w:left="252" w:hanging="252"/>
        <w:rPr>
          <w:sz w:val="20"/>
          <w:szCs w:val="20"/>
        </w:rPr>
      </w:pPr>
      <w:r>
        <w:rPr>
          <w:sz w:val="20"/>
          <w:szCs w:val="20"/>
        </w:rPr>
        <w:t>University Studies description</w:t>
      </w:r>
    </w:p>
    <w:p w:rsidR="00D61963" w:rsidRDefault="0033381E" w:rsidP="000945E2">
      <w:pPr>
        <w:pStyle w:val="NoSpacing"/>
        <w:numPr>
          <w:ilvl w:val="0"/>
          <w:numId w:val="11"/>
        </w:numPr>
        <w:ind w:left="252" w:hanging="252"/>
        <w:rPr>
          <w:sz w:val="20"/>
          <w:szCs w:val="20"/>
        </w:rPr>
      </w:pPr>
      <w:r>
        <w:rPr>
          <w:sz w:val="20"/>
          <w:szCs w:val="20"/>
        </w:rPr>
        <w:t>Advising Excellence award description</w:t>
      </w:r>
    </w:p>
    <w:p w:rsidR="0033381E" w:rsidRDefault="0033381E" w:rsidP="000945E2">
      <w:pPr>
        <w:pStyle w:val="NoSpacing"/>
        <w:numPr>
          <w:ilvl w:val="0"/>
          <w:numId w:val="11"/>
        </w:numPr>
        <w:ind w:left="252" w:hanging="252"/>
        <w:rPr>
          <w:sz w:val="20"/>
          <w:szCs w:val="20"/>
        </w:rPr>
      </w:pPr>
      <w:r>
        <w:rPr>
          <w:sz w:val="20"/>
          <w:szCs w:val="20"/>
        </w:rPr>
        <w:t>Winter Term presentation</w:t>
      </w:r>
    </w:p>
    <w:p w:rsidR="0068729A" w:rsidRPr="00724836" w:rsidRDefault="0068729A" w:rsidP="000945E2">
      <w:pPr>
        <w:pStyle w:val="NoSpacing"/>
        <w:numPr>
          <w:ilvl w:val="0"/>
          <w:numId w:val="11"/>
        </w:numPr>
        <w:ind w:left="252" w:hanging="252"/>
        <w:rPr>
          <w:sz w:val="20"/>
          <w:szCs w:val="20"/>
        </w:rPr>
      </w:pPr>
      <w:r>
        <w:rPr>
          <w:sz w:val="20"/>
          <w:szCs w:val="20"/>
        </w:rPr>
        <w:t>Intervention Reports submitted to Board of Trustees (by Student Affairs)</w:t>
      </w:r>
    </w:p>
    <w:p w:rsidR="00FC3EC7" w:rsidRDefault="003112D8" w:rsidP="000945E2">
      <w:pPr>
        <w:pStyle w:val="NoSpacing"/>
        <w:numPr>
          <w:ilvl w:val="0"/>
          <w:numId w:val="11"/>
        </w:numPr>
        <w:ind w:left="252" w:hanging="252"/>
        <w:rPr>
          <w:sz w:val="20"/>
          <w:szCs w:val="20"/>
        </w:rPr>
      </w:pPr>
      <w:r>
        <w:rPr>
          <w:sz w:val="20"/>
          <w:szCs w:val="20"/>
        </w:rPr>
        <w:t>Policies: midterm grade, course repeat, relocation requirement</w:t>
      </w:r>
      <w:r w:rsidR="0033381E">
        <w:rPr>
          <w:sz w:val="20"/>
          <w:szCs w:val="20"/>
        </w:rPr>
        <w:t>, residency requirement, Academic Integrity, deleting courses</w:t>
      </w:r>
    </w:p>
    <w:p w:rsidR="00884D64" w:rsidRPr="00724836" w:rsidRDefault="00884D64" w:rsidP="000945E2">
      <w:pPr>
        <w:pStyle w:val="NoSpacing"/>
        <w:numPr>
          <w:ilvl w:val="0"/>
          <w:numId w:val="11"/>
        </w:numPr>
        <w:ind w:left="252" w:hanging="252"/>
        <w:rPr>
          <w:sz w:val="20"/>
          <w:szCs w:val="20"/>
        </w:rPr>
      </w:pPr>
      <w:r>
        <w:rPr>
          <w:sz w:val="20"/>
          <w:szCs w:val="20"/>
        </w:rPr>
        <w:t>Credit When It’s Due webpage</w:t>
      </w:r>
    </w:p>
    <w:p w:rsidR="00081F0B" w:rsidRDefault="00081F0B" w:rsidP="00893A8E">
      <w:pPr>
        <w:pStyle w:val="NoSpacing"/>
        <w:rPr>
          <w:sz w:val="20"/>
          <w:szCs w:val="20"/>
        </w:rPr>
      </w:pPr>
    </w:p>
    <w:p w:rsidR="00893A8E" w:rsidRDefault="00893A8E" w:rsidP="00893A8E">
      <w:pPr>
        <w:pStyle w:val="NoSpacing"/>
        <w:rPr>
          <w:sz w:val="20"/>
          <w:szCs w:val="20"/>
        </w:rPr>
      </w:pPr>
    </w:p>
    <w:p w:rsidR="00893A8E" w:rsidRDefault="00893A8E" w:rsidP="00893A8E">
      <w:pPr>
        <w:pStyle w:val="NoSpacing"/>
        <w:rPr>
          <w:sz w:val="20"/>
          <w:szCs w:val="20"/>
        </w:rPr>
      </w:pPr>
    </w:p>
    <w:p w:rsidR="007B3E37" w:rsidRDefault="007B3E37" w:rsidP="007A22F2">
      <w:r>
        <w:br w:type="page"/>
      </w:r>
    </w:p>
    <w:p w:rsidR="007B3E37" w:rsidRDefault="007B3E37" w:rsidP="007B3E37">
      <w:pPr>
        <w:pStyle w:val="Heading2"/>
      </w:pPr>
      <w:r w:rsidRPr="00E360AE">
        <w:lastRenderedPageBreak/>
        <w:t>Criterion 5:  The institution’s resources, structures, and processes are sufficient to fulfill its mission, improve the quality of its educational offerings, and respond to future challenges and opportunities.  The institution plans for the future.</w:t>
      </w:r>
    </w:p>
    <w:p w:rsidR="007B3E37" w:rsidRPr="00E360AE" w:rsidRDefault="007B3E37" w:rsidP="007B3E37">
      <w:pPr>
        <w:pStyle w:val="Heading4"/>
        <w:ind w:left="720" w:hanging="720"/>
      </w:pPr>
      <w:r>
        <w:t>5.A.</w:t>
      </w:r>
      <w:r>
        <w:tab/>
      </w:r>
      <w:r w:rsidRPr="005672D6">
        <w:t>The institution’s resource base supports its current educational programs and its plans for maintaining and strengthening their quality in the future</w:t>
      </w:r>
      <w:r w:rsidRPr="00E360AE">
        <w:t>.</w:t>
      </w:r>
    </w:p>
    <w:p w:rsidR="007B3E37" w:rsidRPr="007B3E37" w:rsidRDefault="0077340D" w:rsidP="007B3E37">
      <w:pPr>
        <w:pStyle w:val="Heading5"/>
        <w:ind w:left="720" w:hanging="720"/>
        <w:rPr>
          <w:sz w:val="22"/>
          <w:szCs w:val="22"/>
        </w:rPr>
      </w:pPr>
      <w:r>
        <w:rPr>
          <w:sz w:val="22"/>
          <w:szCs w:val="22"/>
        </w:rPr>
        <w:t>5.A.1.</w:t>
      </w:r>
      <w:r>
        <w:rPr>
          <w:sz w:val="22"/>
          <w:szCs w:val="22"/>
        </w:rPr>
        <w:tab/>
      </w:r>
      <w:r w:rsidR="007B3E37" w:rsidRPr="007B3E37">
        <w:rPr>
          <w:sz w:val="22"/>
          <w:szCs w:val="22"/>
        </w:rPr>
        <w:t>The institution has the fiscal and human resources and physical and technological infrastructure sufficient to support its operations wherever and however programs are delivered.</w:t>
      </w:r>
    </w:p>
    <w:p w:rsidR="007B3E37" w:rsidRPr="007B3E37" w:rsidRDefault="007B3E37" w:rsidP="007B3E37">
      <w:pPr>
        <w:pStyle w:val="Heading5"/>
        <w:ind w:left="720" w:hanging="720"/>
        <w:rPr>
          <w:sz w:val="22"/>
          <w:szCs w:val="22"/>
        </w:rPr>
      </w:pPr>
      <w:r w:rsidRPr="007B3E37">
        <w:rPr>
          <w:sz w:val="22"/>
          <w:szCs w:val="22"/>
        </w:rPr>
        <w:t>5.A.2.</w:t>
      </w:r>
      <w:r w:rsidRPr="007B3E37">
        <w:rPr>
          <w:sz w:val="22"/>
          <w:szCs w:val="22"/>
        </w:rPr>
        <w:tab/>
        <w:t xml:space="preserve">The institution’s resource allocation process ensures that its educational purposes are not adversely affected by elective resource allocations to other areas or disbursement of revenue to a superordinate entity.  </w:t>
      </w:r>
    </w:p>
    <w:p w:rsidR="007B3E37" w:rsidRPr="007B3E37" w:rsidRDefault="007B3E37" w:rsidP="007B3E37">
      <w:pPr>
        <w:pStyle w:val="Heading5"/>
        <w:ind w:left="720" w:hanging="720"/>
        <w:rPr>
          <w:sz w:val="22"/>
          <w:szCs w:val="22"/>
        </w:rPr>
      </w:pPr>
      <w:r w:rsidRPr="007B3E37">
        <w:rPr>
          <w:sz w:val="22"/>
          <w:szCs w:val="22"/>
        </w:rPr>
        <w:t>5.A.3.</w:t>
      </w:r>
      <w:r w:rsidRPr="007B3E37">
        <w:rPr>
          <w:sz w:val="22"/>
          <w:szCs w:val="22"/>
        </w:rPr>
        <w:tab/>
        <w:t xml:space="preserve">The goals incorporated into mission statements or elaborations of mission statements are realistic in light of the institution’s organization, resources, and opportunities.  </w:t>
      </w:r>
    </w:p>
    <w:p w:rsidR="007B3E37" w:rsidRPr="007B3E37" w:rsidRDefault="007B3E37" w:rsidP="007B3E37">
      <w:pPr>
        <w:pStyle w:val="Heading5"/>
        <w:rPr>
          <w:sz w:val="22"/>
          <w:szCs w:val="22"/>
        </w:rPr>
      </w:pPr>
      <w:r w:rsidRPr="007B3E37">
        <w:rPr>
          <w:sz w:val="22"/>
          <w:szCs w:val="22"/>
        </w:rPr>
        <w:t>5</w:t>
      </w:r>
      <w:r w:rsidR="0077340D">
        <w:rPr>
          <w:sz w:val="22"/>
          <w:szCs w:val="22"/>
        </w:rPr>
        <w:t>.A.4.</w:t>
      </w:r>
      <w:r w:rsidR="0077340D">
        <w:rPr>
          <w:sz w:val="22"/>
          <w:szCs w:val="22"/>
        </w:rPr>
        <w:tab/>
        <w:t>The institution’s staff in</w:t>
      </w:r>
      <w:r w:rsidRPr="007B3E37">
        <w:rPr>
          <w:sz w:val="22"/>
          <w:szCs w:val="22"/>
        </w:rPr>
        <w:t xml:space="preserve"> all areas are appropriately qualified and trained.</w:t>
      </w:r>
    </w:p>
    <w:p w:rsidR="007B3E37" w:rsidRPr="007B3E37" w:rsidRDefault="007B3E37" w:rsidP="007B3E37">
      <w:pPr>
        <w:pStyle w:val="Heading5"/>
        <w:rPr>
          <w:sz w:val="22"/>
          <w:szCs w:val="22"/>
        </w:rPr>
      </w:pPr>
      <w:r w:rsidRPr="007B3E37">
        <w:rPr>
          <w:sz w:val="22"/>
          <w:szCs w:val="22"/>
        </w:rPr>
        <w:t>5.A.5.</w:t>
      </w:r>
      <w:r w:rsidRPr="007B3E37">
        <w:rPr>
          <w:sz w:val="22"/>
          <w:szCs w:val="22"/>
        </w:rPr>
        <w:tab/>
        <w:t>The institution has a well-developed process in place for budgeting and monitoring expense.</w:t>
      </w:r>
    </w:p>
    <w:p w:rsidR="007B3E37" w:rsidRDefault="007B3E37" w:rsidP="007B3E37">
      <w:pPr>
        <w:pStyle w:val="Heading2"/>
      </w:pPr>
      <w:r>
        <w:t>Narrative</w:t>
      </w:r>
    </w:p>
    <w:p w:rsidR="00214E79" w:rsidRDefault="002F3932" w:rsidP="00C018EC">
      <w:pPr>
        <w:rPr>
          <w:shd w:val="clear" w:color="auto" w:fill="FFFFFF"/>
        </w:rPr>
      </w:pPr>
      <w:r>
        <w:rPr>
          <w:shd w:val="clear" w:color="auto" w:fill="FFFFFF"/>
        </w:rPr>
        <w:t xml:space="preserve">Through the stewardship of the </w:t>
      </w:r>
      <w:r w:rsidR="00FB4845">
        <w:rPr>
          <w:shd w:val="clear" w:color="auto" w:fill="FFFFFF"/>
        </w:rPr>
        <w:t xml:space="preserve">Division of </w:t>
      </w:r>
      <w:r>
        <w:rPr>
          <w:shd w:val="clear" w:color="auto" w:fill="FFFFFF"/>
        </w:rPr>
        <w:t xml:space="preserve">Finance and Business Services </w:t>
      </w:r>
      <w:r w:rsidR="00FB4845">
        <w:rPr>
          <w:shd w:val="clear" w:color="auto" w:fill="FFFFFF"/>
        </w:rPr>
        <w:t>(FBS)</w:t>
      </w:r>
      <w:r>
        <w:rPr>
          <w:shd w:val="clear" w:color="auto" w:fill="FFFFFF"/>
        </w:rPr>
        <w:t xml:space="preserve">, </w:t>
      </w:r>
      <w:r w:rsidRPr="002F3932">
        <w:rPr>
          <w:shd w:val="clear" w:color="auto" w:fill="FFFFFF"/>
        </w:rPr>
        <w:t>Miami University</w:t>
      </w:r>
      <w:r w:rsidR="00FB5D2E">
        <w:rPr>
          <w:shd w:val="clear" w:color="auto" w:fill="FFFFFF"/>
        </w:rPr>
        <w:t xml:space="preserve"> is vigilant in</w:t>
      </w:r>
      <w:r>
        <w:rPr>
          <w:shd w:val="clear" w:color="auto" w:fill="FFFFFF"/>
        </w:rPr>
        <w:t xml:space="preserve"> </w:t>
      </w:r>
      <w:r w:rsidR="00FB5D2E">
        <w:rPr>
          <w:shd w:val="clear" w:color="auto" w:fill="FFFFFF"/>
        </w:rPr>
        <w:t>securing</w:t>
      </w:r>
      <w:r w:rsidR="00C52587">
        <w:rPr>
          <w:shd w:val="clear" w:color="auto" w:fill="FFFFFF"/>
        </w:rPr>
        <w:t xml:space="preserve"> and </w:t>
      </w:r>
      <w:r w:rsidR="00FB5D2E">
        <w:rPr>
          <w:shd w:val="clear" w:color="auto" w:fill="FFFFFF"/>
        </w:rPr>
        <w:t>leveraging</w:t>
      </w:r>
      <w:r>
        <w:rPr>
          <w:shd w:val="clear" w:color="auto" w:fill="FFFFFF"/>
        </w:rPr>
        <w:t xml:space="preserve"> the appropriate human, fiscal</w:t>
      </w:r>
      <w:r w:rsidR="00963B94">
        <w:rPr>
          <w:shd w:val="clear" w:color="auto" w:fill="FFFFFF"/>
        </w:rPr>
        <w:t>,</w:t>
      </w:r>
      <w:r>
        <w:rPr>
          <w:shd w:val="clear" w:color="auto" w:fill="FFFFFF"/>
        </w:rPr>
        <w:t xml:space="preserve"> and physical resources to support the vision </w:t>
      </w:r>
      <w:r w:rsidR="00FB4845">
        <w:rPr>
          <w:shd w:val="clear" w:color="auto" w:fill="FFFFFF"/>
        </w:rPr>
        <w:t>of making Miami “</w:t>
      </w:r>
      <w:r>
        <w:rPr>
          <w:shd w:val="clear" w:color="auto" w:fill="FFFFFF"/>
        </w:rPr>
        <w:t>the leader in the nation among public universities having a primary emphasis on undergraduate education and also having significant graduate and research programs."</w:t>
      </w:r>
    </w:p>
    <w:p w:rsidR="00C52587" w:rsidRDefault="00C52587" w:rsidP="00C018EC">
      <w:pPr>
        <w:rPr>
          <w:shd w:val="clear" w:color="auto" w:fill="FFFFFF"/>
        </w:rPr>
      </w:pPr>
      <w:r>
        <w:rPr>
          <w:shd w:val="clear" w:color="auto" w:fill="FFFFFF"/>
        </w:rPr>
        <w:t>Miami’s overall financial and resource picture is summarized each year in the following reports:</w:t>
      </w:r>
    </w:p>
    <w:p w:rsidR="00C52587" w:rsidRPr="00C018EC" w:rsidRDefault="00C52587" w:rsidP="00F5054C">
      <w:pPr>
        <w:pStyle w:val="ListParagraph"/>
        <w:numPr>
          <w:ilvl w:val="0"/>
          <w:numId w:val="58"/>
        </w:numPr>
        <w:rPr>
          <w:shd w:val="clear" w:color="auto" w:fill="FFFFFF"/>
        </w:rPr>
      </w:pPr>
      <w:r w:rsidRPr="00C018EC">
        <w:rPr>
          <w:shd w:val="clear" w:color="auto" w:fill="FFFFFF"/>
        </w:rPr>
        <w:t>Financial Report</w:t>
      </w:r>
    </w:p>
    <w:p w:rsidR="00C52587" w:rsidRPr="00C018EC" w:rsidRDefault="00C52587" w:rsidP="00F5054C">
      <w:pPr>
        <w:pStyle w:val="ListParagraph"/>
        <w:numPr>
          <w:ilvl w:val="0"/>
          <w:numId w:val="58"/>
        </w:numPr>
        <w:rPr>
          <w:shd w:val="clear" w:color="auto" w:fill="FFFFFF"/>
        </w:rPr>
      </w:pPr>
      <w:r w:rsidRPr="00C018EC">
        <w:rPr>
          <w:shd w:val="clear" w:color="auto" w:fill="FFFFFF"/>
        </w:rPr>
        <w:t>Operating Budget Book</w:t>
      </w:r>
    </w:p>
    <w:p w:rsidR="00C52587" w:rsidRPr="00C018EC" w:rsidRDefault="00C52587" w:rsidP="00F5054C">
      <w:pPr>
        <w:pStyle w:val="ListParagraph"/>
        <w:numPr>
          <w:ilvl w:val="0"/>
          <w:numId w:val="58"/>
        </w:numPr>
        <w:rPr>
          <w:shd w:val="clear" w:color="auto" w:fill="FFFFFF"/>
        </w:rPr>
      </w:pPr>
      <w:r w:rsidRPr="00C018EC">
        <w:rPr>
          <w:shd w:val="clear" w:color="auto" w:fill="FFFFFF"/>
        </w:rPr>
        <w:t>Facilities Condition Report</w:t>
      </w:r>
    </w:p>
    <w:p w:rsidR="00EC600C" w:rsidRPr="00EC600C" w:rsidRDefault="00C52587" w:rsidP="00F5054C">
      <w:pPr>
        <w:pStyle w:val="ListParagraph"/>
        <w:numPr>
          <w:ilvl w:val="0"/>
          <w:numId w:val="58"/>
        </w:numPr>
        <w:rPr>
          <w:shd w:val="clear" w:color="auto" w:fill="FFFFFF"/>
        </w:rPr>
      </w:pPr>
      <w:r w:rsidRPr="00C018EC">
        <w:rPr>
          <w:shd w:val="clear" w:color="auto" w:fill="FFFFFF"/>
        </w:rPr>
        <w:t>Investment Report</w:t>
      </w:r>
      <w:r w:rsidR="00574250">
        <w:rPr>
          <w:shd w:val="clear" w:color="auto" w:fill="FFFFFF"/>
        </w:rPr>
        <w:t>.</w:t>
      </w:r>
    </w:p>
    <w:p w:rsidR="00963B94" w:rsidRDefault="0085281E" w:rsidP="002D7800">
      <w:r w:rsidRPr="00DC60FE">
        <w:t>These reports indicate that the insti</w:t>
      </w:r>
      <w:r w:rsidR="00FB5D2E">
        <w:t>tution has a fundamentally strong</w:t>
      </w:r>
      <w:r w:rsidRPr="00DC60FE">
        <w:t xml:space="preserve"> financial base</w:t>
      </w:r>
      <w:r w:rsidR="00C018EC" w:rsidRPr="00DC60FE">
        <w:t xml:space="preserve"> to support its operations</w:t>
      </w:r>
      <w:r w:rsidR="00963B94">
        <w:t>.  Additionally, the rep</w:t>
      </w:r>
      <w:r w:rsidR="004F17FE">
        <w:t>orts as well as the Miami 2020 P</w:t>
      </w:r>
      <w:r w:rsidR="00963B94">
        <w:t>lan and the Strategic Prioriti</w:t>
      </w:r>
      <w:r w:rsidR="004F17FE">
        <w:t>es Task Force r</w:t>
      </w:r>
      <w:r w:rsidR="00963B94">
        <w:t>eport affirm that the university</w:t>
      </w:r>
      <w:r w:rsidRPr="00DC60FE">
        <w:t xml:space="preserve"> engages in </w:t>
      </w:r>
      <w:r w:rsidR="00FB5D2E">
        <w:t xml:space="preserve">ongoing </w:t>
      </w:r>
      <w:r w:rsidRPr="00DC60FE">
        <w:t xml:space="preserve">strategic planning </w:t>
      </w:r>
      <w:r w:rsidR="00FB5D2E">
        <w:t xml:space="preserve">and evaluation </w:t>
      </w:r>
      <w:r w:rsidR="00C018EC" w:rsidRPr="00DC60FE">
        <w:t>that ensures that educat</w:t>
      </w:r>
      <w:r w:rsidR="004F17FE">
        <w:t>ional purposes remain the</w:t>
      </w:r>
      <w:r w:rsidR="00D25E2F">
        <w:t xml:space="preserve"> top priority</w:t>
      </w:r>
      <w:r w:rsidR="00C018EC" w:rsidRPr="00DC60FE">
        <w:t xml:space="preserve">.  </w:t>
      </w:r>
    </w:p>
    <w:p w:rsidR="00D51963" w:rsidRDefault="00C018EC" w:rsidP="00D51963">
      <w:pPr>
        <w:rPr>
          <w:rFonts w:eastAsia="Times New Roman"/>
        </w:rPr>
      </w:pPr>
      <w:r w:rsidRPr="00DC60FE">
        <w:t xml:space="preserve">Miami relies on four main sources of revenue: </w:t>
      </w:r>
      <w:r w:rsidR="00E073BF" w:rsidRPr="00DC60FE">
        <w:t>(1) student tuition and fees; (2) auxiliary enterprises; (3) state appropriations; and (4) contract</w:t>
      </w:r>
      <w:r w:rsidR="004F17FE">
        <w:t>s</w:t>
      </w:r>
      <w:r w:rsidR="00E073BF" w:rsidRPr="00DC60FE">
        <w:t>, sales and services, temporary investments, endowment income</w:t>
      </w:r>
      <w:r w:rsidR="004F17FE">
        <w:t>,</w:t>
      </w:r>
      <w:r w:rsidR="00E073BF" w:rsidRPr="00DC60FE">
        <w:t xml:space="preserve"> and gifts.</w:t>
      </w:r>
      <w:r w:rsidR="00963B94">
        <w:t xml:space="preserve"> </w:t>
      </w:r>
      <w:r w:rsidR="00D51963">
        <w:rPr>
          <w:rFonts w:eastAsia="Times New Roman"/>
        </w:rPr>
        <w:t>From FY2007 to FY2014</w:t>
      </w:r>
      <w:r w:rsidR="004F17FE">
        <w:rPr>
          <w:rFonts w:eastAsia="Times New Roman"/>
        </w:rPr>
        <w:t>,</w:t>
      </w:r>
      <w:r w:rsidR="00D51963">
        <w:rPr>
          <w:rFonts w:eastAsia="Times New Roman"/>
        </w:rPr>
        <w:t xml:space="preserve"> tuition revenues, net of financial aid, have steadily increased from $242.5 million to $318.4 million, with students currently funding 55% of the total operating budget, but over 80% of the education and general fund budget. Revenues from auxiliary services have increased since the last reaccreditation from $102.1 million to $137.5 million. Annual changes in the cost for room and board have been targeted to offset inflationary pressures. Over this time, applications increased from approximately 15,000 to over 25,</w:t>
      </w:r>
      <w:r w:rsidR="00574250">
        <w:rPr>
          <w:rFonts w:eastAsia="Times New Roman"/>
        </w:rPr>
        <w:t>000 resulting in incoming first-</w:t>
      </w:r>
      <w:r w:rsidR="00D51963">
        <w:rPr>
          <w:rFonts w:eastAsia="Times New Roman"/>
        </w:rPr>
        <w:t>time</w:t>
      </w:r>
      <w:r w:rsidR="00574250">
        <w:rPr>
          <w:rFonts w:eastAsia="Times New Roman"/>
        </w:rPr>
        <w:t>, full-</w:t>
      </w:r>
      <w:r w:rsidR="00D51963">
        <w:rPr>
          <w:rFonts w:eastAsia="Times New Roman"/>
        </w:rPr>
        <w:t>time class sizes of 3600 or more each year</w:t>
      </w:r>
      <w:r w:rsidR="00574250">
        <w:rPr>
          <w:rFonts w:eastAsia="Times New Roman"/>
        </w:rPr>
        <w:t>,</w:t>
      </w:r>
      <w:r w:rsidR="00D83FE0">
        <w:rPr>
          <w:rFonts w:eastAsia="Times New Roman"/>
        </w:rPr>
        <w:t xml:space="preserve"> except FY2010 (fall 2009)</w:t>
      </w:r>
      <w:r w:rsidR="00D51963">
        <w:rPr>
          <w:rFonts w:eastAsia="Times New Roman"/>
        </w:rPr>
        <w:t>. Also</w:t>
      </w:r>
      <w:r w:rsidR="00574250">
        <w:rPr>
          <w:rFonts w:eastAsia="Times New Roman"/>
        </w:rPr>
        <w:t>,</w:t>
      </w:r>
      <w:r w:rsidR="00D51963">
        <w:rPr>
          <w:rFonts w:eastAsia="Times New Roman"/>
        </w:rPr>
        <w:t xml:space="preserve"> the proportion of students in the incoming class from outside of Ohio ha</w:t>
      </w:r>
      <w:r w:rsidR="00D83FE0">
        <w:rPr>
          <w:rFonts w:eastAsia="Times New Roman"/>
        </w:rPr>
        <w:t>s increased from 31.9% in FY2010 to 40.7% in FY</w:t>
      </w:r>
      <w:r w:rsidR="00D51963">
        <w:rPr>
          <w:rFonts w:eastAsia="Times New Roman"/>
        </w:rPr>
        <w:t>2014</w:t>
      </w:r>
      <w:r w:rsidR="00D83FE0">
        <w:rPr>
          <w:rFonts w:eastAsia="Times New Roman"/>
        </w:rPr>
        <w:t xml:space="preserve"> (fall 2013)</w:t>
      </w:r>
      <w:r w:rsidR="00D51963">
        <w:rPr>
          <w:rFonts w:eastAsia="Times New Roman"/>
        </w:rPr>
        <w:t>.</w:t>
      </w:r>
      <w:r w:rsidR="00D51963" w:rsidRPr="00B82CD2">
        <w:rPr>
          <w:rFonts w:eastAsia="Times New Roman"/>
        </w:rPr>
        <w:t xml:space="preserve"> </w:t>
      </w:r>
      <w:r w:rsidR="00D51963">
        <w:rPr>
          <w:rFonts w:eastAsia="Times New Roman"/>
        </w:rPr>
        <w:t xml:space="preserve">Total state subsidies have declined from $74.8 to $70.4 million. The primary state subsidy (the state share of instruction) went from $66.3 million in FY2007 to $68.9 million in FY2014.  </w:t>
      </w:r>
    </w:p>
    <w:p w:rsidR="00D51963" w:rsidRDefault="00D51963" w:rsidP="00D51963">
      <w:r>
        <w:t xml:space="preserve">Miami’s financial profile is strong and improving. </w:t>
      </w:r>
      <w:r w:rsidR="00574250">
        <w:t>“</w:t>
      </w:r>
      <w:r>
        <w:t>Net assets</w:t>
      </w:r>
      <w:r w:rsidR="00574250">
        <w:t>”</w:t>
      </w:r>
      <w:r>
        <w:t xml:space="preserve"> is a commonly used indicator of the overall financial strength of an institution. The increase or decrease in net assets indicates whether the financial position of the institution is improving or declining. Miami’s net assets increased from $760.7 million in FY2007 to $987.6 million </w:t>
      </w:r>
      <w:r>
        <w:lastRenderedPageBreak/>
        <w:t>in FY20</w:t>
      </w:r>
      <w:r w:rsidR="00574250">
        <w:t xml:space="preserve">13, an increase $226.9 million and </w:t>
      </w:r>
      <w:r>
        <w:t>29.8%. Following declines in FY2008 and FY2009</w:t>
      </w:r>
      <w:r w:rsidR="00574250">
        <w:t>,</w:t>
      </w:r>
      <w:r w:rsidR="00FC67A0">
        <w:t xml:space="preserve"> due to the great r</w:t>
      </w:r>
      <w:r>
        <w:t>ecession</w:t>
      </w:r>
      <w:r w:rsidR="00574250">
        <w:t>,</w:t>
      </w:r>
      <w:r>
        <w:t xml:space="preserve"> Miami’s net assets increased an average of 8.7% between FY2010 to FY2013. Within net assets</w:t>
      </w:r>
      <w:r w:rsidR="00427B74">
        <w:t>,</w:t>
      </w:r>
      <w:r>
        <w:t xml:space="preserve"> the expendable restricted net assets and unrestricted net assets increased by $154.9 million, or 63.2%, from $245.2 million in FY2007 to $400.1 million in FY2013. As was the case with the broader measur</w:t>
      </w:r>
      <w:r w:rsidR="00427B74">
        <w:t>e, these subcomponents</w:t>
      </w:r>
      <w:r>
        <w:t xml:space="preserve"> each declined in FY2008 and FY2009, but increased an average of 24% each year between FY2010 and FY2013. Miami’s bond rating from Moody’s Investors Services is Aa3 and AA from Fitch Ratings.</w:t>
      </w:r>
    </w:p>
    <w:p w:rsidR="001E0E86" w:rsidRPr="000D16B3" w:rsidRDefault="00FC67A0" w:rsidP="00EA164F">
      <w:pPr>
        <w:rPr>
          <w:rFonts w:eastAsia="Times New Roman"/>
        </w:rPr>
      </w:pPr>
      <w:r>
        <w:rPr>
          <w:rFonts w:eastAsia="Times New Roman"/>
        </w:rPr>
        <w:t>To assist in strengthening its</w:t>
      </w:r>
      <w:r w:rsidR="001E0E86">
        <w:rPr>
          <w:rFonts w:eastAsia="Times New Roman"/>
        </w:rPr>
        <w:t xml:space="preserve"> resources, </w:t>
      </w:r>
      <w:r w:rsidR="00FB4845">
        <w:rPr>
          <w:rFonts w:eastAsia="Times New Roman"/>
        </w:rPr>
        <w:t xml:space="preserve">in 2013, </w:t>
      </w:r>
      <w:r w:rsidR="001E0E86">
        <w:rPr>
          <w:rFonts w:eastAsia="Times New Roman"/>
        </w:rPr>
        <w:t xml:space="preserve">Miami completed </w:t>
      </w:r>
      <w:r w:rsidR="008C4956">
        <w:rPr>
          <w:rFonts w:eastAsia="Times New Roman"/>
        </w:rPr>
        <w:t xml:space="preserve">“Love and Honor,” </w:t>
      </w:r>
      <w:r w:rsidR="001E0E86">
        <w:rPr>
          <w:rFonts w:eastAsia="Times New Roman"/>
        </w:rPr>
        <w:t>the most successful development campaign</w:t>
      </w:r>
      <w:r w:rsidR="00EA164F">
        <w:rPr>
          <w:rFonts w:eastAsia="Times New Roman"/>
        </w:rPr>
        <w:t xml:space="preserve"> in university history, surpassing</w:t>
      </w:r>
      <w:r w:rsidR="001E0E86" w:rsidRPr="000D16B3">
        <w:rPr>
          <w:rFonts w:eastAsia="Times New Roman"/>
        </w:rPr>
        <w:t xml:space="preserve"> its $500 million goal. </w:t>
      </w:r>
      <w:r w:rsidR="00EA164F">
        <w:rPr>
          <w:rFonts w:eastAsia="Times New Roman"/>
        </w:rPr>
        <w:t>During</w:t>
      </w:r>
      <w:r w:rsidR="001E0E86" w:rsidRPr="000D16B3">
        <w:rPr>
          <w:rFonts w:eastAsia="Times New Roman"/>
        </w:rPr>
        <w:t xml:space="preserve"> the campaign, </w:t>
      </w:r>
      <w:r w:rsidR="00EA164F">
        <w:rPr>
          <w:rFonts w:eastAsia="Times New Roman"/>
        </w:rPr>
        <w:t xml:space="preserve">105,000 alumni and friends </w:t>
      </w:r>
      <w:r w:rsidR="001E0E86" w:rsidRPr="000D16B3">
        <w:rPr>
          <w:rFonts w:eastAsia="Times New Roman"/>
        </w:rPr>
        <w:t>contributed at a variety of giving levels, including 84 who contributed at the leadership level of $1 million and above. For fiscal year 2012-2013, 18 percent of Miami alumni contributed to the university, ranking it among the top public universities nationally.</w:t>
      </w:r>
    </w:p>
    <w:p w:rsidR="001E0E86" w:rsidRPr="000D16B3" w:rsidRDefault="001E0E86" w:rsidP="00EA164F">
      <w:pPr>
        <w:rPr>
          <w:rFonts w:eastAsia="Times New Roman"/>
        </w:rPr>
      </w:pPr>
      <w:r w:rsidRPr="000D16B3">
        <w:rPr>
          <w:rFonts w:eastAsia="Times New Roman"/>
        </w:rPr>
        <w:t>The campaign began with an objective of $300 million, but the momentum raised it to $350 million and later to $500 million. Among the campaign’s tangible accomplishments:</w:t>
      </w:r>
    </w:p>
    <w:p w:rsidR="001E0E86" w:rsidRPr="00EA164F" w:rsidRDefault="001E0E86" w:rsidP="00F5054C">
      <w:pPr>
        <w:pStyle w:val="ListParagraph"/>
        <w:numPr>
          <w:ilvl w:val="0"/>
          <w:numId w:val="65"/>
        </w:numPr>
      </w:pPr>
      <w:r w:rsidRPr="00EA164F">
        <w:t>More than $120 million in scholarship support, including 586 newly endowed scholarships;</w:t>
      </w:r>
    </w:p>
    <w:p w:rsidR="001E0E86" w:rsidRPr="00EA164F" w:rsidRDefault="001E0E86" w:rsidP="00F5054C">
      <w:pPr>
        <w:pStyle w:val="ListParagraph"/>
        <w:numPr>
          <w:ilvl w:val="0"/>
          <w:numId w:val="65"/>
        </w:numPr>
      </w:pPr>
      <w:r w:rsidRPr="00EA164F">
        <w:t xml:space="preserve">More than $31 million in faculty support, </w:t>
      </w:r>
      <w:r w:rsidR="00CE5223">
        <w:t xml:space="preserve">which included 31 </w:t>
      </w:r>
      <w:r w:rsidRPr="00EA164F">
        <w:t>newly endowed professorships and chairs;</w:t>
      </w:r>
    </w:p>
    <w:p w:rsidR="001E0E86" w:rsidRPr="00EA164F" w:rsidRDefault="001E0E86" w:rsidP="00F5054C">
      <w:pPr>
        <w:pStyle w:val="ListParagraph"/>
        <w:numPr>
          <w:ilvl w:val="0"/>
          <w:numId w:val="65"/>
        </w:numPr>
      </w:pPr>
      <w:r w:rsidRPr="00EA164F">
        <w:t>More than $100 million in capital project support;</w:t>
      </w:r>
    </w:p>
    <w:p w:rsidR="001E0E86" w:rsidRPr="00EA164F" w:rsidRDefault="001E0E86" w:rsidP="00F5054C">
      <w:pPr>
        <w:pStyle w:val="ListParagraph"/>
        <w:numPr>
          <w:ilvl w:val="0"/>
          <w:numId w:val="65"/>
        </w:numPr>
      </w:pPr>
      <w:r w:rsidRPr="00EA164F">
        <w:t>Current and form</w:t>
      </w:r>
      <w:r w:rsidR="008C4956">
        <w:t xml:space="preserve">er Miami faculty and staff </w:t>
      </w:r>
      <w:r w:rsidRPr="00EA164F">
        <w:t>contributed $16.5 million and created 99 endowed funds through the Miami University Faculty/Staff/Retiree Endowment Program;</w:t>
      </w:r>
    </w:p>
    <w:p w:rsidR="001E0E86" w:rsidRPr="00EA164F" w:rsidRDefault="001E0E86" w:rsidP="00F5054C">
      <w:pPr>
        <w:pStyle w:val="ListParagraph"/>
        <w:numPr>
          <w:ilvl w:val="0"/>
          <w:numId w:val="65"/>
        </w:numPr>
      </w:pPr>
      <w:r w:rsidRPr="00EA164F">
        <w:t>The Farmer School of Business, which celebrated the opening of a new Farmer School of</w:t>
      </w:r>
      <w:r w:rsidR="008C4956">
        <w:t xml:space="preserve"> Business building in 2009, </w:t>
      </w:r>
      <w:r w:rsidRPr="00EA164F">
        <w:t>raised more than $111 million, including more than $30 million from Richard (Miami ’56) and Joyce (Miami ’57) Farmer and the Farmer Family Foundation;</w:t>
      </w:r>
    </w:p>
    <w:p w:rsidR="001E0E86" w:rsidRPr="00EA164F" w:rsidRDefault="001E0E86" w:rsidP="00F5054C">
      <w:pPr>
        <w:pStyle w:val="ListParagraph"/>
        <w:numPr>
          <w:ilvl w:val="0"/>
          <w:numId w:val="65"/>
        </w:numPr>
      </w:pPr>
      <w:r w:rsidRPr="00EA164F">
        <w:t>The Armstrong Student Cente</w:t>
      </w:r>
      <w:r w:rsidR="008C4956">
        <w:t xml:space="preserve">r, a vibrant facility that </w:t>
      </w:r>
      <w:r w:rsidRPr="00EA164F">
        <w:t>bring</w:t>
      </w:r>
      <w:r w:rsidR="008C4956">
        <w:t>s</w:t>
      </w:r>
      <w:r w:rsidRPr="00EA164F">
        <w:t xml:space="preserve"> students together in th</w:t>
      </w:r>
      <w:r w:rsidR="008C4956">
        <w:t>e heart of Miami’s campus, opened</w:t>
      </w:r>
      <w:r w:rsidRPr="00EA164F">
        <w:t xml:space="preserve"> in January 2014. It</w:t>
      </w:r>
      <w:r w:rsidR="00DF3F54">
        <w:t xml:space="preserve"> was</w:t>
      </w:r>
      <w:r w:rsidRPr="00EA164F">
        <w:t xml:space="preserve"> built through the support of more than 10,000 alumni and friends, including a $15 million leadership gift from Mike (Miami ’61) and Anne (Miami ’61) Armstrong;</w:t>
      </w:r>
    </w:p>
    <w:p w:rsidR="001E0E86" w:rsidRPr="00EA164F" w:rsidRDefault="001E0E86" w:rsidP="00F5054C">
      <w:pPr>
        <w:pStyle w:val="ListParagraph"/>
        <w:numPr>
          <w:ilvl w:val="0"/>
          <w:numId w:val="65"/>
        </w:numPr>
      </w:pPr>
      <w:r w:rsidRPr="00EA164F">
        <w:t xml:space="preserve">Harry T. Wilks (Miami ’48) </w:t>
      </w:r>
      <w:r w:rsidR="00EC09D8">
        <w:t xml:space="preserve">contributed </w:t>
      </w:r>
      <w:r w:rsidRPr="00EA164F">
        <w:t>more than $8 million during the campaign, including a gift naming the Harry T. Wilks Leadership Institute and additional university support resulting in the naming of Harry T. Wilks Theatre within the Armstrong Student Center;</w:t>
      </w:r>
    </w:p>
    <w:p w:rsidR="001E0E86" w:rsidRPr="00EA164F" w:rsidRDefault="001E0E86" w:rsidP="00F5054C">
      <w:pPr>
        <w:pStyle w:val="ListParagraph"/>
        <w:numPr>
          <w:ilvl w:val="0"/>
          <w:numId w:val="65"/>
        </w:numPr>
      </w:pPr>
      <w:r w:rsidRPr="00EA164F">
        <w:t>Miami athletics made significant strides in upgrading its facilities through the construction of Goggin Ice Center</w:t>
      </w:r>
      <w:r w:rsidR="00CE5223">
        <w:t xml:space="preserve"> (including a new addition)</w:t>
      </w:r>
      <w:r w:rsidRPr="00EA164F">
        <w:t xml:space="preserve"> and McKie Field at Hayden Park as well as the McVicker Football Complex additions and renovations to Yager Stadium;</w:t>
      </w:r>
    </w:p>
    <w:p w:rsidR="001E0E86" w:rsidRPr="00EA164F" w:rsidRDefault="001E0E86" w:rsidP="00F5054C">
      <w:pPr>
        <w:pStyle w:val="ListParagraph"/>
        <w:numPr>
          <w:ilvl w:val="0"/>
          <w:numId w:val="65"/>
        </w:numPr>
      </w:pPr>
      <w:r w:rsidRPr="00EA164F">
        <w:t>The Howe Writing Center was opened through the support of Roger (Miami ’57) and Joyce (Miami ’57) Howe to help Miami students excel in writing. It provided consultations to more than 10,000 students during its first three years;</w:t>
      </w:r>
    </w:p>
    <w:p w:rsidR="001E0E86" w:rsidRPr="00EA164F" w:rsidRDefault="001E0E86" w:rsidP="00F5054C">
      <w:pPr>
        <w:pStyle w:val="ListParagraph"/>
        <w:numPr>
          <w:ilvl w:val="0"/>
          <w:numId w:val="65"/>
        </w:numPr>
      </w:pPr>
      <w:r w:rsidRPr="00EA164F">
        <w:t>The Conservatory, a 7,000-square feet multi-use facility featuring the largest fully documented collection of exotic plants in Butler County, was constructed at Miami Hamilton through the support of the Richard J. Fitton family.</w:t>
      </w:r>
    </w:p>
    <w:p w:rsidR="001E0E86" w:rsidRPr="00EA164F" w:rsidRDefault="001E0E86" w:rsidP="00F5054C">
      <w:pPr>
        <w:pStyle w:val="ListParagraph"/>
        <w:numPr>
          <w:ilvl w:val="0"/>
          <w:numId w:val="65"/>
        </w:numPr>
      </w:pPr>
      <w:r w:rsidRPr="00EA164F">
        <w:t>The Armstrong Interactive Media Studies program was endowed with a gift of $14.7 million from Mike and Anne Armstrong to challenge students in the creative use of interactive media;</w:t>
      </w:r>
    </w:p>
    <w:p w:rsidR="001E0E86" w:rsidRPr="00EA164F" w:rsidRDefault="001E0E86" w:rsidP="00F5054C">
      <w:pPr>
        <w:pStyle w:val="ListParagraph"/>
        <w:numPr>
          <w:ilvl w:val="0"/>
          <w:numId w:val="65"/>
        </w:numPr>
      </w:pPr>
      <w:r w:rsidRPr="00EA164F">
        <w:t>In 2007, the Miami Access Initiative was launched through a more than $15 million bequest from the estate of Lois Klawon (Miami '39) to provide free tuition to Ohio students whose families make less than $35,000 in annual income. It has drawn more than 1,400 students to Miami’s campus.</w:t>
      </w:r>
    </w:p>
    <w:p w:rsidR="00E77C68" w:rsidRDefault="00BD3ADA" w:rsidP="002D7800">
      <w:r>
        <w:t>Despite the significant accomp</w:t>
      </w:r>
      <w:r w:rsidR="00FB4845">
        <w:t xml:space="preserve">lishments of the </w:t>
      </w:r>
      <w:r>
        <w:t>campaign, t</w:t>
      </w:r>
      <w:r w:rsidR="00DC60FE" w:rsidRPr="00DC60FE">
        <w:t>he financial crisis of 2008, coupled with severe cuts in state funding and a fr</w:t>
      </w:r>
      <w:r w:rsidR="00EC09D8">
        <w:t>ozen tuition structure, challenged</w:t>
      </w:r>
      <w:r w:rsidR="00DC60FE" w:rsidRPr="00DC60FE">
        <w:t xml:space="preserve"> Miami to find ways to </w:t>
      </w:r>
      <w:r w:rsidR="00FB4845">
        <w:t xml:space="preserve">make major budget cuts while </w:t>
      </w:r>
      <w:r w:rsidR="00DC60FE" w:rsidRPr="00DC60FE">
        <w:lastRenderedPageBreak/>
        <w:t>continu</w:t>
      </w:r>
      <w:r w:rsidR="00FB4845">
        <w:t>ing</w:t>
      </w:r>
      <w:r w:rsidR="00DC60FE" w:rsidRPr="00DC60FE">
        <w:t xml:space="preserve"> its high standard</w:t>
      </w:r>
      <w:r w:rsidR="00FB4845">
        <w:t>s and levels of service</w:t>
      </w:r>
      <w:r w:rsidR="00DC60FE" w:rsidRPr="00DC60FE">
        <w:t>.</w:t>
      </w:r>
      <w:r w:rsidR="00576B16">
        <w:t xml:space="preserve"> The u</w:t>
      </w:r>
      <w:r w:rsidR="00DC60FE">
        <w:t>niversity responded to these significant challenges by embarking on a journey of continuous improvement—</w:t>
      </w:r>
      <w:r w:rsidR="00E77C68">
        <w:t>which included:</w:t>
      </w:r>
    </w:p>
    <w:p w:rsidR="00021D13" w:rsidRPr="00021D13" w:rsidRDefault="00EC09D8" w:rsidP="001F7605">
      <w:pPr>
        <w:rPr>
          <w:rFonts w:ascii="Cambria" w:hAnsi="Cambria" w:cs="Cambria"/>
        </w:rPr>
      </w:pPr>
      <w:r w:rsidRPr="00EC09D8">
        <w:t>The</w:t>
      </w:r>
      <w:r>
        <w:rPr>
          <w:b/>
        </w:rPr>
        <w:t xml:space="preserve"> </w:t>
      </w:r>
      <w:r w:rsidR="00DC60FE" w:rsidRPr="00021D13">
        <w:rPr>
          <w:b/>
        </w:rPr>
        <w:t>Stra</w:t>
      </w:r>
      <w:r w:rsidR="00E77C68" w:rsidRPr="00021D13">
        <w:rPr>
          <w:b/>
        </w:rPr>
        <w:t>tegic Priorities Task Force</w:t>
      </w:r>
      <w:r>
        <w:t>, constituted in 2010, was</w:t>
      </w:r>
      <w:r w:rsidR="006366B1">
        <w:t xml:space="preserve"> charged by President Hodge</w:t>
      </w:r>
      <w:r w:rsidR="000023B8">
        <w:t xml:space="preserve"> to generate “</w:t>
      </w:r>
      <w:r w:rsidR="00BB0DBF">
        <w:t>a framework that will guide and inspire our decisions over the next five years and beyond in order to advance Miami as a premier national university.”</w:t>
      </w:r>
      <w:r w:rsidR="00021D13">
        <w:t xml:space="preserve">  </w:t>
      </w:r>
      <w:r w:rsidR="00021D13" w:rsidRPr="00021D13">
        <w:rPr>
          <w:rFonts w:ascii="Cambria" w:hAnsi="Cambria" w:cs="Cambria"/>
        </w:rPr>
        <w:t>Because of</w:t>
      </w:r>
      <w:r w:rsidR="000023B8">
        <w:rPr>
          <w:rFonts w:ascii="Cambria" w:hAnsi="Cambria" w:cs="Cambria"/>
        </w:rPr>
        <w:t xml:space="preserve"> the complexity of the task, the group </w:t>
      </w:r>
      <w:r w:rsidR="00021D13" w:rsidRPr="00021D13">
        <w:rPr>
          <w:rFonts w:ascii="Cambria" w:hAnsi="Cambria" w:cs="Cambria"/>
        </w:rPr>
        <w:t>divided in</w:t>
      </w:r>
      <w:r w:rsidR="000023B8">
        <w:rPr>
          <w:rFonts w:ascii="Cambria" w:hAnsi="Cambria" w:cs="Cambria"/>
        </w:rPr>
        <w:t xml:space="preserve">to subcommittees, each examining </w:t>
      </w:r>
      <w:r w:rsidR="00021D13" w:rsidRPr="00021D13">
        <w:rPr>
          <w:rFonts w:ascii="Cambria" w:hAnsi="Cambria" w:cs="Cambria"/>
        </w:rPr>
        <w:t>dif</w:t>
      </w:r>
      <w:r w:rsidR="00C74F45">
        <w:rPr>
          <w:rFonts w:ascii="Cambria" w:hAnsi="Cambria" w:cs="Cambria"/>
        </w:rPr>
        <w:t>ferent areas of the E&amp;G budget:</w:t>
      </w:r>
    </w:p>
    <w:p w:rsidR="00021D13" w:rsidRPr="00021D13" w:rsidRDefault="00021D13" w:rsidP="00F5054C">
      <w:pPr>
        <w:pStyle w:val="NoSpacing"/>
        <w:numPr>
          <w:ilvl w:val="1"/>
          <w:numId w:val="57"/>
        </w:numPr>
      </w:pPr>
      <w:r w:rsidRPr="00021D13">
        <w:t xml:space="preserve">Organization of Academic Affairs </w:t>
      </w:r>
    </w:p>
    <w:p w:rsidR="00021D13" w:rsidRPr="00021D13" w:rsidRDefault="00021D13" w:rsidP="00F5054C">
      <w:pPr>
        <w:pStyle w:val="NoSpacing"/>
        <w:numPr>
          <w:ilvl w:val="1"/>
          <w:numId w:val="57"/>
        </w:numPr>
      </w:pPr>
      <w:r w:rsidRPr="00021D13">
        <w:t xml:space="preserve">Graduate Education and Research </w:t>
      </w:r>
    </w:p>
    <w:p w:rsidR="00021D13" w:rsidRPr="00021D13" w:rsidRDefault="00021D13" w:rsidP="00F5054C">
      <w:pPr>
        <w:pStyle w:val="NoSpacing"/>
        <w:numPr>
          <w:ilvl w:val="1"/>
          <w:numId w:val="57"/>
        </w:numPr>
      </w:pPr>
      <w:r w:rsidRPr="00021D13">
        <w:t xml:space="preserve">Student Services and Co-Curricular Activities </w:t>
      </w:r>
    </w:p>
    <w:p w:rsidR="00021D13" w:rsidRPr="00021D13" w:rsidRDefault="00021D13" w:rsidP="00F5054C">
      <w:pPr>
        <w:pStyle w:val="NoSpacing"/>
        <w:numPr>
          <w:ilvl w:val="1"/>
          <w:numId w:val="57"/>
        </w:numPr>
      </w:pPr>
      <w:r w:rsidRPr="00021D13">
        <w:t xml:space="preserve">Administrative Support Services and Operation of Facilities </w:t>
      </w:r>
    </w:p>
    <w:p w:rsidR="009C3EAF" w:rsidRDefault="00021D13" w:rsidP="00F5054C">
      <w:pPr>
        <w:pStyle w:val="NoSpacing"/>
        <w:numPr>
          <w:ilvl w:val="1"/>
          <w:numId w:val="57"/>
        </w:numPr>
      </w:pPr>
      <w:r w:rsidRPr="00021D13">
        <w:t xml:space="preserve">New Revenue Generation </w:t>
      </w:r>
    </w:p>
    <w:p w:rsidR="009C3EAF" w:rsidRPr="00021D13" w:rsidRDefault="009C3EAF" w:rsidP="00021D13">
      <w:pPr>
        <w:autoSpaceDE w:val="0"/>
        <w:autoSpaceDN w:val="0"/>
        <w:adjustRightInd w:val="0"/>
        <w:spacing w:after="0" w:line="240" w:lineRule="auto"/>
        <w:rPr>
          <w:rFonts w:ascii="Cambria" w:hAnsi="Cambria" w:cs="Cambria"/>
          <w:color w:val="000000"/>
          <w:sz w:val="23"/>
          <w:szCs w:val="23"/>
        </w:rPr>
      </w:pPr>
    </w:p>
    <w:p w:rsidR="005F11EE" w:rsidRDefault="000023B8" w:rsidP="009C3EAF">
      <w:pPr>
        <w:rPr>
          <w:rFonts w:ascii="Cambria" w:hAnsi="Cambria" w:cs="Cambria"/>
          <w:color w:val="000000"/>
        </w:rPr>
      </w:pPr>
      <w:r>
        <w:t>Each of the</w:t>
      </w:r>
      <w:r w:rsidR="00576B16">
        <w:t xml:space="preserve"> subcommittees identified </w:t>
      </w:r>
      <w:r w:rsidR="00831453">
        <w:t xml:space="preserve">strategies </w:t>
      </w:r>
      <w:r w:rsidR="00021D13">
        <w:t>to either enhance r</w:t>
      </w:r>
      <w:r w:rsidR="00831453">
        <w:t>evenue or become more efficient</w:t>
      </w:r>
      <w:r w:rsidR="006366B1">
        <w:t xml:space="preserve">. </w:t>
      </w:r>
      <w:r w:rsidR="00C74F45">
        <w:t xml:space="preserve">In its final report, the task force </w:t>
      </w:r>
      <w:r w:rsidR="00831453">
        <w:t xml:space="preserve">offered 35 far-reaching recommendations and </w:t>
      </w:r>
      <w:r w:rsidR="00C74F45">
        <w:t>note</w:t>
      </w:r>
      <w:r w:rsidR="00831453">
        <w:t>d,</w:t>
      </w:r>
      <w:r w:rsidR="00C74F45">
        <w:t xml:space="preserve"> </w:t>
      </w:r>
      <w:r w:rsidR="00831453">
        <w:t>“</w:t>
      </w:r>
      <w:r w:rsidR="005F11EE" w:rsidRPr="005F11EE">
        <w:rPr>
          <w:rFonts w:ascii="Cambria" w:hAnsi="Cambria" w:cs="Cambria"/>
          <w:color w:val="000000"/>
        </w:rPr>
        <w:t>Rather than continuing to make across-the-board cuts, which only ero</w:t>
      </w:r>
      <w:r w:rsidR="006B798C">
        <w:rPr>
          <w:rFonts w:ascii="Cambria" w:hAnsi="Cambria" w:cs="Cambria"/>
          <w:color w:val="000000"/>
        </w:rPr>
        <w:t>des the overall quality of the u</w:t>
      </w:r>
      <w:r w:rsidR="005F11EE" w:rsidRPr="005F11EE">
        <w:rPr>
          <w:rFonts w:ascii="Cambria" w:hAnsi="Cambria" w:cs="Cambria"/>
          <w:color w:val="000000"/>
        </w:rPr>
        <w:t xml:space="preserve">niversity, the task force has recommended that we focus our efforts and resources to enhance the core mission </w:t>
      </w:r>
      <w:r w:rsidR="006B798C">
        <w:rPr>
          <w:rFonts w:ascii="Cambria" w:hAnsi="Cambria" w:cs="Cambria"/>
          <w:color w:val="000000"/>
        </w:rPr>
        <w:t>of the u</w:t>
      </w:r>
      <w:r w:rsidR="005F11EE" w:rsidRPr="005F11EE">
        <w:rPr>
          <w:rFonts w:ascii="Cambria" w:hAnsi="Cambria" w:cs="Cambria"/>
          <w:color w:val="000000"/>
        </w:rPr>
        <w:t>niversity. In doing so, we will reduce our offerings, but ensure that those activities we choose to undertake will have the resources necessary to be done at a very high level.</w:t>
      </w:r>
      <w:r w:rsidR="003606E5">
        <w:rPr>
          <w:rFonts w:ascii="Cambria" w:hAnsi="Cambria" w:cs="Cambria"/>
          <w:color w:val="000000"/>
        </w:rPr>
        <w:t>”</w:t>
      </w:r>
    </w:p>
    <w:p w:rsidR="009C3EAF" w:rsidRPr="00145C2D" w:rsidRDefault="005730F3" w:rsidP="00145C2D">
      <w:r>
        <w:t>In 2011, t</w:t>
      </w:r>
      <w:r w:rsidR="001F7605" w:rsidRPr="001F7605">
        <w:t xml:space="preserve">he </w:t>
      </w:r>
      <w:r w:rsidR="001F7605" w:rsidRPr="00145C2D">
        <w:rPr>
          <w:b/>
        </w:rPr>
        <w:t>Strategic Assessment of Support Services (SASS) project</w:t>
      </w:r>
      <w:r w:rsidR="006F14F4">
        <w:t xml:space="preserve"> used the consultations of Accenture to</w:t>
      </w:r>
      <w:r w:rsidR="009C3EAF" w:rsidRPr="009C3EAF">
        <w:rPr>
          <w:sz w:val="24"/>
          <w:szCs w:val="24"/>
        </w:rPr>
        <w:t xml:space="preserve"> </w:t>
      </w:r>
      <w:r w:rsidR="00CA4445">
        <w:t>assess the existing a</w:t>
      </w:r>
      <w:r w:rsidR="009C3EAF" w:rsidRPr="009C3EAF">
        <w:t>dministra</w:t>
      </w:r>
      <w:r w:rsidR="00CA4445">
        <w:t xml:space="preserve">tive support organization (e.g., </w:t>
      </w:r>
      <w:r w:rsidR="00A44BE8">
        <w:t>f</w:t>
      </w:r>
      <w:r w:rsidR="009C3EAF" w:rsidRPr="009C3EAF">
        <w:t xml:space="preserve">acilities, </w:t>
      </w:r>
      <w:r w:rsidR="00576B16">
        <w:t>information technology</w:t>
      </w:r>
      <w:r w:rsidR="00A44BE8">
        <w:t>, communications and marketing, f</w:t>
      </w:r>
      <w:r w:rsidR="009C3EAF" w:rsidRPr="009C3EAF">
        <w:t xml:space="preserve">inance) to create a more efficient </w:t>
      </w:r>
      <w:r w:rsidR="006F14F4">
        <w:t xml:space="preserve">and effective organization. The </w:t>
      </w:r>
      <w:r w:rsidR="009C3EAF" w:rsidRPr="009C3EAF">
        <w:t>project team collected detailed information about the number of staff, total cost of the administrative tasks</w:t>
      </w:r>
      <w:r w:rsidR="0023291F">
        <w:t>,</w:t>
      </w:r>
      <w:r w:rsidR="009C3EAF" w:rsidRPr="009C3EAF">
        <w:t xml:space="preserve"> and associated error rates in support of a</w:t>
      </w:r>
      <w:r w:rsidR="006F14F4">
        <w:t xml:space="preserve"> formal benchmarking process. The team</w:t>
      </w:r>
      <w:r w:rsidR="009C3EAF" w:rsidRPr="009C3EAF">
        <w:t xml:space="preserve"> also solicited candid feedback from over 300 faculty and staff via focus groups, 70 faculty and staff through individualized interviews</w:t>
      </w:r>
      <w:r w:rsidR="00A44BE8">
        <w:t>,</w:t>
      </w:r>
      <w:r w:rsidR="009C3EAF" w:rsidRPr="009C3EAF">
        <w:t xml:space="preserve"> and a stakeholder survey with over 280 respondents to gain a qualitative p</w:t>
      </w:r>
      <w:r w:rsidR="00A44BE8">
        <w:t>erspective of Miami’s current ad</w:t>
      </w:r>
      <w:r w:rsidR="009C3EAF" w:rsidRPr="009C3EAF">
        <w:t xml:space="preserve">ministrative support organization. </w:t>
      </w:r>
      <w:r w:rsidR="0023291F">
        <w:t xml:space="preserve">The </w:t>
      </w:r>
      <w:r w:rsidR="006F14F4">
        <w:t xml:space="preserve">team </w:t>
      </w:r>
      <w:r w:rsidR="00A44BE8">
        <w:t xml:space="preserve">generated a </w:t>
      </w:r>
      <w:r w:rsidR="009C3EAF" w:rsidRPr="009C3EAF">
        <w:t>sam</w:t>
      </w:r>
      <w:r w:rsidR="00A44BE8">
        <w:t>ple implementation roadmap</w:t>
      </w:r>
      <w:r w:rsidR="0023291F">
        <w:t xml:space="preserve"> and recommendations that</w:t>
      </w:r>
      <w:r w:rsidR="006F14F4">
        <w:t xml:space="preserve"> include</w:t>
      </w:r>
      <w:r w:rsidR="00576B16">
        <w:t>d</w:t>
      </w:r>
      <w:r w:rsidR="006F14F4">
        <w:t>: p</w:t>
      </w:r>
      <w:r w:rsidR="009C3EAF">
        <w:t xml:space="preserve">rocess simplification for </w:t>
      </w:r>
      <w:r w:rsidR="009C3EAF" w:rsidRPr="00145C2D">
        <w:t xml:space="preserve">reimbursement, </w:t>
      </w:r>
      <w:r w:rsidR="00576B16">
        <w:t xml:space="preserve">an </w:t>
      </w:r>
      <w:r w:rsidR="00565C16">
        <w:t xml:space="preserve">enrollment services </w:t>
      </w:r>
      <w:r w:rsidR="009C3EAF" w:rsidRPr="00145C2D">
        <w:t xml:space="preserve">center, academic administrative support optimization, </w:t>
      </w:r>
      <w:r w:rsidR="00A44BE8">
        <w:t xml:space="preserve">a </w:t>
      </w:r>
      <w:r w:rsidR="009C3EAF" w:rsidRPr="00145C2D">
        <w:t xml:space="preserve">realignment of regional campuses, </w:t>
      </w:r>
      <w:r w:rsidR="00A44BE8">
        <w:t>and strategic purchasing.</w:t>
      </w:r>
    </w:p>
    <w:p w:rsidR="00261692" w:rsidRPr="00145C2D" w:rsidRDefault="008417B9" w:rsidP="00145C2D">
      <w:r w:rsidRPr="008417B9">
        <w:t>The</w:t>
      </w:r>
      <w:r>
        <w:rPr>
          <w:b/>
        </w:rPr>
        <w:t xml:space="preserve"> </w:t>
      </w:r>
      <w:r w:rsidR="00DC60FE" w:rsidRPr="00145C2D">
        <w:rPr>
          <w:b/>
        </w:rPr>
        <w:t xml:space="preserve">Lean </w:t>
      </w:r>
      <w:r w:rsidR="005730F3" w:rsidRPr="00145C2D">
        <w:rPr>
          <w:b/>
        </w:rPr>
        <w:t>Initiative</w:t>
      </w:r>
      <w:r w:rsidR="005730F3" w:rsidRPr="00145C2D">
        <w:t xml:space="preserve"> was begun at Miami in 2012.  </w:t>
      </w:r>
      <w:r w:rsidR="00261692" w:rsidRPr="00145C2D">
        <w:t>A</w:t>
      </w:r>
      <w:r w:rsidR="005730F3" w:rsidRPr="00145C2D">
        <w:t xml:space="preserve"> set of principles, concepts, and techniques desig</w:t>
      </w:r>
      <w:r w:rsidR="0023291F">
        <w:t xml:space="preserve">ned </w:t>
      </w:r>
      <w:r w:rsidR="00CE5223">
        <w:t xml:space="preserve">for </w:t>
      </w:r>
      <w:r w:rsidR="005730F3" w:rsidRPr="00145C2D">
        <w:t>continuous improveme</w:t>
      </w:r>
      <w:r w:rsidR="00261692" w:rsidRPr="00145C2D">
        <w:t>nt and the elimina</w:t>
      </w:r>
      <w:r>
        <w:t xml:space="preserve">tion of waste, the Lean </w:t>
      </w:r>
      <w:r w:rsidR="00261692" w:rsidRPr="00145C2D">
        <w:t>approach is being utilized at M</w:t>
      </w:r>
      <w:r>
        <w:t>iami, focusing</w:t>
      </w:r>
      <w:r w:rsidR="00261692" w:rsidRPr="00145C2D">
        <w:t xml:space="preserve"> on five breakthrough objectives:</w:t>
      </w:r>
    </w:p>
    <w:p w:rsidR="00261692" w:rsidRPr="00145C2D" w:rsidRDefault="005730F3" w:rsidP="00F5054C">
      <w:pPr>
        <w:pStyle w:val="ListParagraph"/>
        <w:numPr>
          <w:ilvl w:val="0"/>
          <w:numId w:val="59"/>
        </w:numPr>
      </w:pPr>
      <w:r w:rsidRPr="00145C2D">
        <w:t>Increase Revenue</w:t>
      </w:r>
    </w:p>
    <w:p w:rsidR="005730F3" w:rsidRPr="00145C2D" w:rsidRDefault="005730F3" w:rsidP="00F5054C">
      <w:pPr>
        <w:pStyle w:val="ListParagraph"/>
        <w:numPr>
          <w:ilvl w:val="0"/>
          <w:numId w:val="59"/>
        </w:numPr>
      </w:pPr>
      <w:r w:rsidRPr="00145C2D">
        <w:t>Improve Productivity</w:t>
      </w:r>
    </w:p>
    <w:p w:rsidR="005730F3" w:rsidRPr="00145C2D" w:rsidRDefault="005730F3" w:rsidP="00F5054C">
      <w:pPr>
        <w:pStyle w:val="ListParagraph"/>
        <w:numPr>
          <w:ilvl w:val="0"/>
          <w:numId w:val="59"/>
        </w:numPr>
      </w:pPr>
      <w:r w:rsidRPr="00145C2D">
        <w:t>Reduce Costs</w:t>
      </w:r>
    </w:p>
    <w:p w:rsidR="005730F3" w:rsidRPr="00145C2D" w:rsidRDefault="005730F3" w:rsidP="00F5054C">
      <w:pPr>
        <w:pStyle w:val="ListParagraph"/>
        <w:numPr>
          <w:ilvl w:val="0"/>
          <w:numId w:val="59"/>
        </w:numPr>
      </w:pPr>
      <w:r w:rsidRPr="00145C2D">
        <w:t>Cost Avoidance</w:t>
      </w:r>
    </w:p>
    <w:p w:rsidR="005730F3" w:rsidRPr="00145C2D" w:rsidRDefault="005730F3" w:rsidP="00F5054C">
      <w:pPr>
        <w:pStyle w:val="ListParagraph"/>
        <w:numPr>
          <w:ilvl w:val="0"/>
          <w:numId w:val="59"/>
        </w:numPr>
      </w:pPr>
      <w:r w:rsidRPr="00145C2D">
        <w:t>Continue and Improve "Green" Initiatives</w:t>
      </w:r>
      <w:r w:rsidR="00565C16">
        <w:t>.</w:t>
      </w:r>
    </w:p>
    <w:p w:rsidR="004937D2" w:rsidRPr="00145C2D" w:rsidRDefault="00261692" w:rsidP="00145C2D">
      <w:r w:rsidRPr="00145C2D">
        <w:t xml:space="preserve">The Division of Finance and Business Services has embraced </w:t>
      </w:r>
      <w:r w:rsidR="00145C2D" w:rsidRPr="00145C2D">
        <w:t xml:space="preserve">and led </w:t>
      </w:r>
      <w:r w:rsidRPr="00145C2D">
        <w:t>this approach by c</w:t>
      </w:r>
      <w:r w:rsidR="004937D2" w:rsidRPr="00145C2D">
        <w:t xml:space="preserve">reating a training program that </w:t>
      </w:r>
      <w:r w:rsidR="008417B9">
        <w:t xml:space="preserve">has </w:t>
      </w:r>
      <w:r w:rsidR="004937D2" w:rsidRPr="00145C2D">
        <w:t>reached</w:t>
      </w:r>
      <w:r w:rsidR="008417B9">
        <w:t xml:space="preserve"> every new employee as well as optional programs for existing employees, </w:t>
      </w:r>
      <w:r w:rsidR="004937D2" w:rsidRPr="00145C2D">
        <w:t>including Lean Leader Certification</w:t>
      </w:r>
      <w:r w:rsidRPr="00145C2D">
        <w:t>; p</w:t>
      </w:r>
      <w:r w:rsidR="004937D2" w:rsidRPr="00145C2D">
        <w:t>roviding a supporti</w:t>
      </w:r>
      <w:r w:rsidR="008417B9">
        <w:t>ng structure of interconnected steering committees which approves, monitors</w:t>
      </w:r>
      <w:r w:rsidR="00565C16">
        <w:t>,</w:t>
      </w:r>
      <w:r w:rsidR="008417B9">
        <w:t xml:space="preserve"> and offers</w:t>
      </w:r>
      <w:r w:rsidR="004937D2" w:rsidRPr="00145C2D">
        <w:t xml:space="preserve"> resources to the project teams</w:t>
      </w:r>
      <w:r w:rsidR="008417B9">
        <w:t xml:space="preserve">; and </w:t>
      </w:r>
      <w:r w:rsidRPr="00145C2D">
        <w:t>i</w:t>
      </w:r>
      <w:r w:rsidR="00C85094">
        <w:t>nitiating a newsletter that celebrates successes.</w:t>
      </w:r>
    </w:p>
    <w:p w:rsidR="00012CDC" w:rsidRPr="00B807DE" w:rsidRDefault="004937D2" w:rsidP="00B807DE">
      <w:r w:rsidRPr="00B807DE">
        <w:t>In the three years that Mia</w:t>
      </w:r>
      <w:r w:rsidR="00145C2D" w:rsidRPr="00B807DE">
        <w:t xml:space="preserve">mi has practiced Lean, </w:t>
      </w:r>
      <w:r w:rsidRPr="00B807DE">
        <w:t xml:space="preserve">71 projects </w:t>
      </w:r>
      <w:r w:rsidR="00145C2D" w:rsidRPr="00B807DE">
        <w:t xml:space="preserve">have been </w:t>
      </w:r>
      <w:r w:rsidR="00565C16">
        <w:t>completed;</w:t>
      </w:r>
      <w:r w:rsidRPr="00B807DE">
        <w:t xml:space="preserve"> 69</w:t>
      </w:r>
      <w:r w:rsidR="00145C2D" w:rsidRPr="00B807DE">
        <w:t xml:space="preserve"> are</w:t>
      </w:r>
      <w:r w:rsidRPr="00B807DE">
        <w:t xml:space="preserve"> currently in process</w:t>
      </w:r>
      <w:r w:rsidR="00565C16">
        <w:t>,</w:t>
      </w:r>
      <w:r w:rsidRPr="00B807DE">
        <w:t xml:space="preserve"> and another 32 slated t</w:t>
      </w:r>
      <w:r w:rsidR="00565C16">
        <w:t>o start in the near future. In f</w:t>
      </w:r>
      <w:r w:rsidRPr="00B807DE">
        <w:t>inance a</w:t>
      </w:r>
      <w:r w:rsidR="00565C16">
        <w:t>nd business s</w:t>
      </w:r>
      <w:r w:rsidR="00145C2D" w:rsidRPr="00B807DE">
        <w:t xml:space="preserve">ervices alone, the </w:t>
      </w:r>
      <w:r w:rsidRPr="00B807DE">
        <w:t xml:space="preserve">completed projects have </w:t>
      </w:r>
      <w:r w:rsidRPr="00B807DE">
        <w:lastRenderedPageBreak/>
        <w:t>increased revenue by $1.8M, avoided $2.1M in costs and reduced costs by over $2.2M. Additionally, over 80% of the projects improve productivity</w:t>
      </w:r>
      <w:r w:rsidR="00565C16">
        <w:t>,</w:t>
      </w:r>
      <w:r w:rsidRPr="00B807DE">
        <w:t xml:space="preserve"> and another 50% of the projects have a “green” </w:t>
      </w:r>
      <w:r w:rsidR="00565C16">
        <w:t>or sustainability emphasis</w:t>
      </w:r>
      <w:r w:rsidRPr="00B807DE">
        <w:t>.</w:t>
      </w:r>
      <w:r w:rsidR="00012CDC" w:rsidRPr="00B807DE">
        <w:t xml:space="preserve"> Monthly project status reports record valuable information including Lean project goals, outcomes associated with the project including cost savings and revenue generation, the team members, and the current status of the project. This information </w:t>
      </w:r>
      <w:r w:rsidR="00EB12CA">
        <w:t>is reported to senior m</w:t>
      </w:r>
      <w:r w:rsidR="00012CDC" w:rsidRPr="00B807DE">
        <w:t>anagement on a monthly basis and shar</w:t>
      </w:r>
      <w:r w:rsidR="00565C16">
        <w:t>ed with the Board of Trustee's finance and audit c</w:t>
      </w:r>
      <w:r w:rsidR="00012CDC" w:rsidRPr="00B807DE">
        <w:t>ommittee. </w:t>
      </w:r>
    </w:p>
    <w:p w:rsidR="00B34C92" w:rsidRPr="00A11AFF" w:rsidRDefault="003606E5" w:rsidP="00A11AFF">
      <w:r w:rsidRPr="00A11AFF">
        <w:t xml:space="preserve">More recently, a </w:t>
      </w:r>
      <w:r w:rsidR="00EC600C" w:rsidRPr="00A11AFF">
        <w:rPr>
          <w:b/>
        </w:rPr>
        <w:t>Responsibility Center Mana</w:t>
      </w:r>
      <w:r w:rsidR="00E77C68" w:rsidRPr="00A11AFF">
        <w:rPr>
          <w:b/>
        </w:rPr>
        <w:t xml:space="preserve">gement (RCM) </w:t>
      </w:r>
      <w:r w:rsidR="00B807DE" w:rsidRPr="00A11AFF">
        <w:rPr>
          <w:b/>
        </w:rPr>
        <w:t>B</w:t>
      </w:r>
      <w:r w:rsidR="00B34C92" w:rsidRPr="00A11AFF">
        <w:rPr>
          <w:b/>
        </w:rPr>
        <w:t xml:space="preserve">udgeting </w:t>
      </w:r>
      <w:r w:rsidR="00B807DE" w:rsidRPr="00A11AFF">
        <w:rPr>
          <w:b/>
        </w:rPr>
        <w:t>S</w:t>
      </w:r>
      <w:r w:rsidR="00B34C92" w:rsidRPr="00A11AFF">
        <w:rPr>
          <w:b/>
        </w:rPr>
        <w:t>ystem</w:t>
      </w:r>
      <w:r w:rsidRPr="00A11AFF">
        <w:t xml:space="preserve"> has been implemented </w:t>
      </w:r>
      <w:r w:rsidR="00EB12CA" w:rsidRPr="00A11AFF">
        <w:t>to encourage greater</w:t>
      </w:r>
      <w:r w:rsidR="00B34C92" w:rsidRPr="00A11AFF">
        <w:t xml:space="preserve"> unit-level accountability</w:t>
      </w:r>
      <w:r w:rsidR="004E1AB2" w:rsidRPr="00A11AFF">
        <w:t>, financial stability,</w:t>
      </w:r>
      <w:r w:rsidR="00B34C92" w:rsidRPr="00A11AFF">
        <w:t xml:space="preserve"> and </w:t>
      </w:r>
      <w:r w:rsidR="004E1AB2" w:rsidRPr="00A11AFF">
        <w:t xml:space="preserve">an </w:t>
      </w:r>
      <w:r w:rsidR="00B34C92" w:rsidRPr="00A11AFF">
        <w:t>entrepreneurial environment. Throughout the FY2013-2014, financial performance in the current budget model was compared to financial performance under the new budget system. A determination on full implementation of the new system was made in the spring during the FY2013-2014 budget process.</w:t>
      </w:r>
    </w:p>
    <w:p w:rsidR="00D51963" w:rsidRDefault="00D51963" w:rsidP="00D51963">
      <w:r>
        <w:t>Through these bold steps</w:t>
      </w:r>
      <w:r w:rsidRPr="00E77C68">
        <w:rPr>
          <w:rFonts w:eastAsia="Times New Roman"/>
        </w:rPr>
        <w:t>, Miami has reduced its budget by over $</w:t>
      </w:r>
      <w:r>
        <w:rPr>
          <w:rFonts w:eastAsia="Times New Roman"/>
        </w:rPr>
        <w:t>50.5</w:t>
      </w:r>
      <w:r w:rsidRPr="00E77C68">
        <w:rPr>
          <w:rFonts w:eastAsia="Times New Roman"/>
        </w:rPr>
        <w:t xml:space="preserve"> million since 2009</w:t>
      </w:r>
      <w:r>
        <w:rPr>
          <w:rFonts w:eastAsia="Times New Roman"/>
        </w:rPr>
        <w:t xml:space="preserve"> and fueled its capacity for revenue generation,</w:t>
      </w:r>
      <w:r w:rsidRPr="00E77C68">
        <w:rPr>
          <w:rFonts w:eastAsia="Times New Roman"/>
        </w:rPr>
        <w:t xml:space="preserve"> </w:t>
      </w:r>
      <w:r>
        <w:rPr>
          <w:rFonts w:eastAsia="Times New Roman"/>
        </w:rPr>
        <w:t>thereby positioning the institution for future success.</w:t>
      </w:r>
    </w:p>
    <w:p w:rsidR="00214E79" w:rsidRDefault="00D93748" w:rsidP="00F71B87">
      <w:r w:rsidRPr="00F71B87">
        <w:t>As described in the Criteri</w:t>
      </w:r>
      <w:r w:rsidR="00B203CC">
        <w:t xml:space="preserve">a 1.B and 2.A narratives, </w:t>
      </w:r>
      <w:r w:rsidR="00123CEC">
        <w:t xml:space="preserve">these </w:t>
      </w:r>
      <w:r w:rsidR="00B203CC">
        <w:t xml:space="preserve">budgetary </w:t>
      </w:r>
      <w:r w:rsidR="00123CEC">
        <w:t>plans and decisions have been</w:t>
      </w:r>
      <w:r w:rsidR="00B203CC">
        <w:t xml:space="preserve"> made</w:t>
      </w:r>
      <w:r w:rsidR="002D7800" w:rsidRPr="00F71B87">
        <w:t xml:space="preserve"> with considerable input as well as transparent and</w:t>
      </w:r>
      <w:r w:rsidR="001473E9" w:rsidRPr="00F71B87">
        <w:t xml:space="preserve"> ongoing communication </w:t>
      </w:r>
      <w:r w:rsidR="00123CEC">
        <w:t>involving faculty, students</w:t>
      </w:r>
      <w:r w:rsidR="00C85094">
        <w:t>, administrators,</w:t>
      </w:r>
      <w:r w:rsidR="00123CEC">
        <w:t xml:space="preserve"> and staff </w:t>
      </w:r>
      <w:r w:rsidR="001473E9" w:rsidRPr="00F71B87">
        <w:t>across all divisions of the</w:t>
      </w:r>
      <w:r w:rsidR="006B798C">
        <w:t xml:space="preserve"> u</w:t>
      </w:r>
      <w:r w:rsidR="002D7800" w:rsidRPr="00F71B87">
        <w:t>niversity</w:t>
      </w:r>
      <w:r w:rsidR="00C5461A">
        <w:t xml:space="preserve"> as well as </w:t>
      </w:r>
      <w:r w:rsidR="00EB12CA">
        <w:t xml:space="preserve">regular </w:t>
      </w:r>
      <w:r w:rsidR="00123CEC">
        <w:t>review</w:t>
      </w:r>
      <w:r w:rsidR="00EB12CA">
        <w:t>s</w:t>
      </w:r>
      <w:r w:rsidR="00123CEC">
        <w:t xml:space="preserve"> by</w:t>
      </w:r>
      <w:r w:rsidR="00F71B87" w:rsidRPr="00F71B87">
        <w:t xml:space="preserve"> </w:t>
      </w:r>
      <w:r w:rsidR="00214E79" w:rsidRPr="00F71B87">
        <w:t>the President's Executive Cabinet, University Senate Fiscal Priorities Committee, Council of Academic Deans, and the Board of Trustees Finance and Audit Committee.</w:t>
      </w:r>
      <w:r w:rsidR="00123CEC">
        <w:t xml:space="preserve"> </w:t>
      </w:r>
      <w:r w:rsidR="00C5461A">
        <w:t xml:space="preserve"> The inclusive approach not only ensure</w:t>
      </w:r>
      <w:r w:rsidR="00E53581">
        <w:t>s</w:t>
      </w:r>
      <w:r w:rsidR="00C5461A">
        <w:t xml:space="preserve"> that all members of the community participate</w:t>
      </w:r>
      <w:r w:rsidR="00C85094">
        <w:t xml:space="preserve"> in these key initiatives but it also ensures</w:t>
      </w:r>
      <w:r w:rsidR="00C5461A">
        <w:t xml:space="preserve"> that the goals set forth are feasible </w:t>
      </w:r>
      <w:r w:rsidR="005B18B3">
        <w:t>to attain and that expenses are carefully monitored.</w:t>
      </w:r>
    </w:p>
    <w:p w:rsidR="004E1AB2" w:rsidRDefault="004E1AB2" w:rsidP="00B807DE">
      <w:r>
        <w:t xml:space="preserve">The process of building the budget each year is </w:t>
      </w:r>
      <w:r w:rsidR="00B807DE">
        <w:t>aligned with the</w:t>
      </w:r>
      <w:r w:rsidR="00E825B9">
        <w:t xml:space="preserve"> university’s mission</w:t>
      </w:r>
      <w:r>
        <w:t xml:space="preserve"> and involves these key </w:t>
      </w:r>
      <w:r w:rsidR="00E825B9">
        <w:t xml:space="preserve">collaborative </w:t>
      </w:r>
      <w:r>
        <w:t>steps:</w:t>
      </w:r>
    </w:p>
    <w:p w:rsidR="004E1AB2" w:rsidRPr="00655034" w:rsidRDefault="0075372B" w:rsidP="00F5054C">
      <w:pPr>
        <w:pStyle w:val="ListParagraph"/>
        <w:numPr>
          <w:ilvl w:val="0"/>
          <w:numId w:val="60"/>
        </w:numPr>
      </w:pPr>
      <w:r>
        <w:t xml:space="preserve">Summer: </w:t>
      </w:r>
      <w:r w:rsidR="004E1AB2" w:rsidRPr="00655034">
        <w:t>Miami prepares an operating budget each year (a fiscal year is July 1 to June 30)</w:t>
      </w:r>
      <w:r>
        <w:t>.</w:t>
      </w:r>
    </w:p>
    <w:p w:rsidR="004E1AB2" w:rsidRPr="00655034" w:rsidRDefault="0075372B" w:rsidP="00F5054C">
      <w:pPr>
        <w:pStyle w:val="ListParagraph"/>
        <w:numPr>
          <w:ilvl w:val="0"/>
          <w:numId w:val="60"/>
        </w:numPr>
      </w:pPr>
      <w:r>
        <w:t>September: R</w:t>
      </w:r>
      <w:r w:rsidR="004E1AB2" w:rsidRPr="00655034">
        <w:t>oom and board rates are approved for the next year</w:t>
      </w:r>
      <w:r>
        <w:t xml:space="preserve"> in the Board of Trustees meeting.</w:t>
      </w:r>
    </w:p>
    <w:p w:rsidR="004E1AB2" w:rsidRPr="00655034" w:rsidRDefault="0075372B" w:rsidP="00F5054C">
      <w:pPr>
        <w:pStyle w:val="ListParagraph"/>
        <w:numPr>
          <w:ilvl w:val="0"/>
          <w:numId w:val="60"/>
        </w:numPr>
      </w:pPr>
      <w:r>
        <w:t>Mid-fall: E</w:t>
      </w:r>
      <w:r w:rsidR="004E1AB2" w:rsidRPr="00655034">
        <w:t xml:space="preserve">nrollment targets are set </w:t>
      </w:r>
      <w:r>
        <w:t>th</w:t>
      </w:r>
      <w:r w:rsidR="00A11AFF">
        <w:t>rough collaborations among the vice president of enrollment m</w:t>
      </w:r>
      <w:r>
        <w:t>anagement</w:t>
      </w:r>
      <w:r w:rsidR="004E1AB2" w:rsidRPr="00655034">
        <w:t xml:space="preserve"> and </w:t>
      </w:r>
      <w:r>
        <w:t xml:space="preserve">the academic </w:t>
      </w:r>
      <w:r w:rsidR="004E1AB2" w:rsidRPr="00655034">
        <w:t>deans for the next year</w:t>
      </w:r>
      <w:r w:rsidR="00E825B9">
        <w:t>.</w:t>
      </w:r>
    </w:p>
    <w:p w:rsidR="004E1AB2" w:rsidRPr="00655034" w:rsidRDefault="00A11AFF" w:rsidP="00F5054C">
      <w:pPr>
        <w:pStyle w:val="ListParagraph"/>
        <w:numPr>
          <w:ilvl w:val="0"/>
          <w:numId w:val="60"/>
        </w:numPr>
      </w:pPr>
      <w:r>
        <w:t>January -March: The u</w:t>
      </w:r>
      <w:r w:rsidR="004E1AB2" w:rsidRPr="00655034">
        <w:t>niversity conducts budget discussions with vice presidents, deans, and other key constituents</w:t>
      </w:r>
      <w:r w:rsidR="0075372B">
        <w:t>.</w:t>
      </w:r>
    </w:p>
    <w:p w:rsidR="004E1AB2" w:rsidRPr="00655034" w:rsidRDefault="0075372B" w:rsidP="00F5054C">
      <w:pPr>
        <w:pStyle w:val="ListParagraph"/>
        <w:numPr>
          <w:ilvl w:val="0"/>
          <w:numId w:val="60"/>
        </w:numPr>
      </w:pPr>
      <w:r>
        <w:t>February</w:t>
      </w:r>
      <w:r w:rsidR="00E825B9">
        <w:t>: T</w:t>
      </w:r>
      <w:r w:rsidR="004E1AB2" w:rsidRPr="00655034">
        <w:t>uition and fee rates are set</w:t>
      </w:r>
      <w:r>
        <w:t xml:space="preserve"> at the Board of Trustee meetings.</w:t>
      </w:r>
    </w:p>
    <w:p w:rsidR="00161F2F" w:rsidRDefault="00A11AFF" w:rsidP="00F5054C">
      <w:pPr>
        <w:pStyle w:val="ListParagraph"/>
        <w:numPr>
          <w:ilvl w:val="0"/>
          <w:numId w:val="60"/>
        </w:numPr>
      </w:pPr>
      <w:r>
        <w:t>April: The fiscal priorities c</w:t>
      </w:r>
      <w:r w:rsidR="00161F2F">
        <w:t>ommittee presents on the financial picture at a University Senate meeting.</w:t>
      </w:r>
    </w:p>
    <w:p w:rsidR="004E1AB2" w:rsidRPr="00655034" w:rsidRDefault="00161F2F" w:rsidP="00F5054C">
      <w:pPr>
        <w:pStyle w:val="ListParagraph"/>
        <w:numPr>
          <w:ilvl w:val="0"/>
          <w:numId w:val="60"/>
        </w:numPr>
      </w:pPr>
      <w:r>
        <w:t>June: T</w:t>
      </w:r>
      <w:r w:rsidR="004E1AB2" w:rsidRPr="00655034">
        <w:t>he budget for the next year is approved</w:t>
      </w:r>
      <w:r w:rsidR="0075372B">
        <w:t xml:space="preserve"> at the Board of Trustees meeting.</w:t>
      </w:r>
      <w:r>
        <w:t xml:space="preserve"> </w:t>
      </w:r>
    </w:p>
    <w:p w:rsidR="004E1AB2" w:rsidRPr="00655034" w:rsidRDefault="004E1AB2" w:rsidP="00F5054C">
      <w:pPr>
        <w:pStyle w:val="ListParagraph"/>
        <w:numPr>
          <w:ilvl w:val="0"/>
          <w:numId w:val="60"/>
        </w:numPr>
      </w:pPr>
      <w:r w:rsidRPr="00655034">
        <w:t>State operating appropriations are made for two years and are done in odd</w:t>
      </w:r>
      <w:r w:rsidR="00161F2F">
        <w:t>-numbered calendar years.</w:t>
      </w:r>
    </w:p>
    <w:p w:rsidR="004E1AB2" w:rsidRPr="00655034" w:rsidRDefault="004E1AB2" w:rsidP="00F5054C">
      <w:pPr>
        <w:pStyle w:val="ListParagraph"/>
        <w:numPr>
          <w:ilvl w:val="0"/>
          <w:numId w:val="60"/>
        </w:numPr>
      </w:pPr>
      <w:r w:rsidRPr="00655034">
        <w:t>State capital appropriations are for two years and are done in even-numbered years.</w:t>
      </w:r>
    </w:p>
    <w:p w:rsidR="00CF28D6" w:rsidRDefault="00E825B9" w:rsidP="00BB1162">
      <w:r>
        <w:t>Beyond a collaborative budget planning process, the k</w:t>
      </w:r>
      <w:r w:rsidR="00C5461A">
        <w:t xml:space="preserve">ey to a </w:t>
      </w:r>
      <w:r w:rsidR="00A11AFF">
        <w:t>highly effective and efficient u</w:t>
      </w:r>
      <w:r w:rsidR="00C5461A">
        <w:t>niversity is a superb set of employees.</w:t>
      </w:r>
      <w:r w:rsidR="00F4075A">
        <w:t xml:space="preserve">  This goal is</w:t>
      </w:r>
      <w:r w:rsidR="005A132E">
        <w:t xml:space="preserve"> evident i</w:t>
      </w:r>
      <w:r>
        <w:t>n the Miami 2020 plan objective:</w:t>
      </w:r>
      <w:r w:rsidR="005A132E">
        <w:t xml:space="preserve"> “</w:t>
      </w:r>
      <w:r w:rsidR="00F4075A">
        <w:t>Recogniz</w:t>
      </w:r>
      <w:r w:rsidR="005A132E">
        <w:t xml:space="preserve">e and reward Miami employees for increasing effectiveness and productivity </w:t>
      </w:r>
      <w:r w:rsidR="00F4075A">
        <w:t xml:space="preserve">by utilizing their expertise, creativity, and collaboration to constantly improve accountability, productivity, and efficient utilization of resources.”  Toward this end, Miami uses a cyclical model of </w:t>
      </w:r>
      <w:r w:rsidR="00161F2F">
        <w:t>performance m</w:t>
      </w:r>
      <w:r w:rsidR="000D16B3" w:rsidRPr="00BB1162">
        <w:t xml:space="preserve">anagement </w:t>
      </w:r>
      <w:r w:rsidR="00F4075A">
        <w:t xml:space="preserve">which </w:t>
      </w:r>
      <w:r w:rsidR="000D16B3" w:rsidRPr="00BB1162">
        <w:t xml:space="preserve">begins with the hiring process, continues with daily performance management, and extends to yearly performance appraisals. Specifically, when making a hiring decision, managers, committees, and individuals </w:t>
      </w:r>
      <w:r w:rsidR="00161F2F">
        <w:t xml:space="preserve">involved in the process are asked to </w:t>
      </w:r>
      <w:r w:rsidR="000D16B3" w:rsidRPr="00BB1162">
        <w:t>consider the nine core competencies establishe</w:t>
      </w:r>
      <w:r w:rsidR="00941E25">
        <w:t>d by the university which are: adaptability, motivation, professional and self-development, job knowledge and quality of work, stewardship, service orientation, teamwork, communication, and i</w:t>
      </w:r>
      <w:r w:rsidR="000D16B3" w:rsidRPr="00BB1162">
        <w:t xml:space="preserve">nclusiveness. As a result of an </w:t>
      </w:r>
      <w:r w:rsidR="000D16B3" w:rsidRPr="00BB1162">
        <w:lastRenderedPageBreak/>
        <w:t>effective and useful performance manageme</w:t>
      </w:r>
      <w:r w:rsidR="00161F2F">
        <w:t>nt system, supervisors are then</w:t>
      </w:r>
      <w:r w:rsidR="000D16B3" w:rsidRPr="00BB1162">
        <w:t xml:space="preserve"> able to provide factual, relevant performance assessments</w:t>
      </w:r>
      <w:r w:rsidR="007E253B">
        <w:t xml:space="preserve"> and to collaborate on a professional development plan with their employees to</w:t>
      </w:r>
      <w:r w:rsidR="000D16B3" w:rsidRPr="00BB1162">
        <w:t xml:space="preserve"> foster growth and improvement among the staff at the university. </w:t>
      </w:r>
    </w:p>
    <w:p w:rsidR="00B64A61" w:rsidRDefault="00CF28D6" w:rsidP="005B18B3">
      <w:r>
        <w:t xml:space="preserve">This system is further supported by </w:t>
      </w:r>
      <w:r w:rsidR="00941E25">
        <w:t>human resources staff d</w:t>
      </w:r>
      <w:r w:rsidR="000D16B3" w:rsidRPr="00BB1162">
        <w:t xml:space="preserve">evelopment </w:t>
      </w:r>
      <w:r w:rsidR="00941E25">
        <w:t>p</w:t>
      </w:r>
      <w:r>
        <w:t xml:space="preserve">rogram which </w:t>
      </w:r>
      <w:r w:rsidR="000D16B3" w:rsidRPr="00BB1162">
        <w:t>of</w:t>
      </w:r>
      <w:r w:rsidR="00BA0E03">
        <w:t>fers many courses and resources</w:t>
      </w:r>
      <w:r w:rsidR="007E253B">
        <w:t xml:space="preserve">, staff performance </w:t>
      </w:r>
      <w:r w:rsidR="00BA0E03">
        <w:t>assessment instrument</w:t>
      </w:r>
      <w:r w:rsidR="007E253B">
        <w:t>s</w:t>
      </w:r>
      <w:r w:rsidR="00BA0E03">
        <w:t xml:space="preserve">, </w:t>
      </w:r>
      <w:r w:rsidR="007E253B">
        <w:t xml:space="preserve">a </w:t>
      </w:r>
      <w:r w:rsidR="00B64A61">
        <w:t>job enrichment program</w:t>
      </w:r>
      <w:r w:rsidR="0046579C">
        <w:t xml:space="preserve"> (described under Criterion 1D)</w:t>
      </w:r>
      <w:r w:rsidR="00B64A61">
        <w:t>, and recognition</w:t>
      </w:r>
      <w:r w:rsidR="00BA0E03">
        <w:t xml:space="preserve"> for outstanding performance. </w:t>
      </w:r>
      <w:r w:rsidR="000D16B3" w:rsidRPr="00BB1162">
        <w:t xml:space="preserve"> The Miami P.R.I.D.E Award, which stands for </w:t>
      </w:r>
      <w:r w:rsidR="00A25762">
        <w:t>“</w:t>
      </w:r>
      <w:r w:rsidR="000D16B3" w:rsidRPr="00BB1162">
        <w:t>Performance Resulting in Distinguished Excellence,</w:t>
      </w:r>
      <w:r w:rsidR="00A25762">
        <w:t>”</w:t>
      </w:r>
      <w:r w:rsidR="000D16B3" w:rsidRPr="00BB1162">
        <w:t xml:space="preserve"> is a centrally-fund</w:t>
      </w:r>
      <w:r w:rsidR="00253EE7">
        <w:t>ed, monetary bonus program for classified and u</w:t>
      </w:r>
      <w:r w:rsidR="000D16B3" w:rsidRPr="00BB1162">
        <w:t>nclassified staff. Recognition of ach</w:t>
      </w:r>
      <w:r w:rsidR="00B64A61">
        <w:t>ievements and contributions has</w:t>
      </w:r>
      <w:r w:rsidR="000D16B3" w:rsidRPr="00BB1162">
        <w:t xml:space="preserve"> a considerable impact on employee satisfaction and retention. </w:t>
      </w:r>
    </w:p>
    <w:p w:rsidR="005D105F" w:rsidRDefault="005B18B3" w:rsidP="005B18B3">
      <w:r>
        <w:t>Challenges and areas for improvement related to this criterion include:</w:t>
      </w:r>
    </w:p>
    <w:p w:rsidR="00A6168C" w:rsidRDefault="005D105F" w:rsidP="00F5054C">
      <w:pPr>
        <w:pStyle w:val="ListParagraph"/>
        <w:numPr>
          <w:ilvl w:val="0"/>
          <w:numId w:val="61"/>
        </w:numPr>
      </w:pPr>
      <w:r>
        <w:t>Educating the faculty and staff about RCM and its implications</w:t>
      </w:r>
      <w:r w:rsidR="007E253B">
        <w:t>;</w:t>
      </w:r>
    </w:p>
    <w:p w:rsidR="007B3E37" w:rsidRDefault="005D105F" w:rsidP="00F5054C">
      <w:pPr>
        <w:pStyle w:val="ListParagraph"/>
        <w:numPr>
          <w:ilvl w:val="0"/>
          <w:numId w:val="61"/>
        </w:numPr>
      </w:pPr>
      <w:r w:rsidRPr="00A6168C">
        <w:t>Ensuring cross-divisional and university-wide priorities and coll</w:t>
      </w:r>
      <w:r w:rsidR="005B18B3">
        <w:t>aborations in the context of the new RCM budgeting approach;</w:t>
      </w:r>
    </w:p>
    <w:p w:rsidR="005B18B3" w:rsidRPr="00A6168C" w:rsidRDefault="005B18B3" w:rsidP="00F5054C">
      <w:pPr>
        <w:pStyle w:val="ListParagraph"/>
        <w:numPr>
          <w:ilvl w:val="0"/>
          <w:numId w:val="61"/>
        </w:numPr>
      </w:pPr>
      <w:r>
        <w:t>Finding ways to enha</w:t>
      </w:r>
      <w:r w:rsidR="00253EE7">
        <w:t>nce staff morale during times</w:t>
      </w:r>
      <w:r w:rsidR="00D268C1">
        <w:t xml:space="preserve"> of fiscal constraint and </w:t>
      </w:r>
      <w:r w:rsidR="00941E25">
        <w:t xml:space="preserve">following a period of </w:t>
      </w:r>
      <w:r w:rsidR="00D268C1">
        <w:t>position eliminations</w:t>
      </w:r>
      <w:r>
        <w:t>.</w:t>
      </w:r>
    </w:p>
    <w:p w:rsidR="007B3E37" w:rsidRDefault="007B3E37" w:rsidP="007B3E37">
      <w:pPr>
        <w:pStyle w:val="Heading2"/>
      </w:pPr>
      <w:r>
        <w:t>Sources</w:t>
      </w:r>
    </w:p>
    <w:p w:rsidR="005D105F" w:rsidRPr="004714DA" w:rsidRDefault="005D105F" w:rsidP="000945E2">
      <w:pPr>
        <w:pStyle w:val="NoSpacing"/>
        <w:numPr>
          <w:ilvl w:val="0"/>
          <w:numId w:val="15"/>
        </w:numPr>
        <w:rPr>
          <w:sz w:val="20"/>
          <w:szCs w:val="20"/>
        </w:rPr>
      </w:pPr>
      <w:r w:rsidRPr="004714DA">
        <w:rPr>
          <w:sz w:val="20"/>
          <w:szCs w:val="20"/>
        </w:rPr>
        <w:t>Miami 2020 Plan</w:t>
      </w:r>
    </w:p>
    <w:p w:rsidR="005D105F" w:rsidRDefault="005D105F" w:rsidP="000945E2">
      <w:pPr>
        <w:pStyle w:val="NoSpacing"/>
        <w:numPr>
          <w:ilvl w:val="0"/>
          <w:numId w:val="15"/>
        </w:numPr>
        <w:rPr>
          <w:sz w:val="20"/>
          <w:szCs w:val="20"/>
        </w:rPr>
      </w:pPr>
      <w:r w:rsidRPr="004714DA">
        <w:rPr>
          <w:sz w:val="20"/>
          <w:szCs w:val="20"/>
        </w:rPr>
        <w:t>Strategic Priorities Task Forc</w:t>
      </w:r>
      <w:r w:rsidR="00321005">
        <w:rPr>
          <w:sz w:val="20"/>
          <w:szCs w:val="20"/>
        </w:rPr>
        <w:t>e Report and President’s Response</w:t>
      </w:r>
    </w:p>
    <w:p w:rsidR="00321005" w:rsidRPr="004714DA" w:rsidRDefault="00321005" w:rsidP="000945E2">
      <w:pPr>
        <w:pStyle w:val="NoSpacing"/>
        <w:numPr>
          <w:ilvl w:val="0"/>
          <w:numId w:val="15"/>
        </w:numPr>
        <w:rPr>
          <w:sz w:val="20"/>
          <w:szCs w:val="20"/>
        </w:rPr>
      </w:pPr>
      <w:r>
        <w:rPr>
          <w:sz w:val="20"/>
          <w:szCs w:val="20"/>
        </w:rPr>
        <w:t>SASS Project Report</w:t>
      </w:r>
    </w:p>
    <w:p w:rsidR="005D105F" w:rsidRDefault="005B18B3" w:rsidP="000945E2">
      <w:pPr>
        <w:pStyle w:val="NoSpacing"/>
        <w:numPr>
          <w:ilvl w:val="0"/>
          <w:numId w:val="15"/>
        </w:numPr>
        <w:rPr>
          <w:sz w:val="20"/>
          <w:szCs w:val="20"/>
        </w:rPr>
      </w:pPr>
      <w:r>
        <w:rPr>
          <w:sz w:val="20"/>
          <w:szCs w:val="20"/>
        </w:rPr>
        <w:t>LEAN Newsletters</w:t>
      </w:r>
    </w:p>
    <w:p w:rsidR="00321005" w:rsidRDefault="00321005" w:rsidP="000945E2">
      <w:pPr>
        <w:pStyle w:val="NoSpacing"/>
        <w:numPr>
          <w:ilvl w:val="0"/>
          <w:numId w:val="15"/>
        </w:numPr>
        <w:rPr>
          <w:sz w:val="20"/>
          <w:szCs w:val="20"/>
        </w:rPr>
      </w:pPr>
      <w:r>
        <w:rPr>
          <w:sz w:val="20"/>
          <w:szCs w:val="20"/>
        </w:rPr>
        <w:t>PRIDE Award Guidelines</w:t>
      </w:r>
    </w:p>
    <w:p w:rsidR="00321005" w:rsidRDefault="00321005" w:rsidP="000945E2">
      <w:pPr>
        <w:pStyle w:val="NoSpacing"/>
        <w:numPr>
          <w:ilvl w:val="0"/>
          <w:numId w:val="15"/>
        </w:numPr>
        <w:rPr>
          <w:sz w:val="20"/>
          <w:szCs w:val="20"/>
        </w:rPr>
      </w:pPr>
      <w:r>
        <w:rPr>
          <w:sz w:val="20"/>
          <w:szCs w:val="20"/>
        </w:rPr>
        <w:t>Operating Budget Books Since 2006</w:t>
      </w:r>
    </w:p>
    <w:p w:rsidR="00321005" w:rsidRDefault="00321005" w:rsidP="000945E2">
      <w:pPr>
        <w:pStyle w:val="NoSpacing"/>
        <w:numPr>
          <w:ilvl w:val="0"/>
          <w:numId w:val="15"/>
        </w:numPr>
        <w:rPr>
          <w:sz w:val="20"/>
          <w:szCs w:val="20"/>
        </w:rPr>
      </w:pPr>
      <w:r>
        <w:rPr>
          <w:sz w:val="20"/>
          <w:szCs w:val="20"/>
        </w:rPr>
        <w:t>Financial Reports Since 2006</w:t>
      </w:r>
    </w:p>
    <w:p w:rsidR="000A47E5" w:rsidRDefault="000A47E5" w:rsidP="000945E2">
      <w:pPr>
        <w:pStyle w:val="NoSpacing"/>
        <w:numPr>
          <w:ilvl w:val="0"/>
          <w:numId w:val="15"/>
        </w:numPr>
        <w:rPr>
          <w:sz w:val="20"/>
          <w:szCs w:val="20"/>
        </w:rPr>
      </w:pPr>
      <w:r>
        <w:rPr>
          <w:sz w:val="20"/>
          <w:szCs w:val="20"/>
        </w:rPr>
        <w:t>IACS Annual Reports and Audit Plans since 2006</w:t>
      </w:r>
    </w:p>
    <w:p w:rsidR="000A47E5" w:rsidRPr="004714DA" w:rsidRDefault="000A47E5" w:rsidP="000945E2">
      <w:pPr>
        <w:pStyle w:val="NoSpacing"/>
        <w:numPr>
          <w:ilvl w:val="0"/>
          <w:numId w:val="15"/>
        </w:numPr>
        <w:rPr>
          <w:sz w:val="20"/>
          <w:szCs w:val="20"/>
        </w:rPr>
      </w:pPr>
      <w:r>
        <w:rPr>
          <w:sz w:val="20"/>
          <w:szCs w:val="20"/>
        </w:rPr>
        <w:t>Investment Reports Since 2006</w:t>
      </w:r>
    </w:p>
    <w:p w:rsidR="005D105F" w:rsidRPr="004714DA" w:rsidRDefault="005D105F" w:rsidP="000945E2">
      <w:pPr>
        <w:pStyle w:val="NoSpacing"/>
        <w:numPr>
          <w:ilvl w:val="0"/>
          <w:numId w:val="15"/>
        </w:numPr>
        <w:rPr>
          <w:sz w:val="20"/>
          <w:szCs w:val="20"/>
        </w:rPr>
      </w:pPr>
      <w:r w:rsidRPr="004714DA">
        <w:rPr>
          <w:sz w:val="20"/>
          <w:szCs w:val="20"/>
        </w:rPr>
        <w:t>Foundation’s annual report</w:t>
      </w:r>
      <w:r w:rsidR="000A47E5">
        <w:rPr>
          <w:sz w:val="20"/>
          <w:szCs w:val="20"/>
        </w:rPr>
        <w:t>s</w:t>
      </w:r>
    </w:p>
    <w:p w:rsidR="005D105F" w:rsidRPr="004714DA" w:rsidRDefault="005D105F" w:rsidP="000945E2">
      <w:pPr>
        <w:pStyle w:val="NoSpacing"/>
        <w:numPr>
          <w:ilvl w:val="0"/>
          <w:numId w:val="15"/>
        </w:numPr>
        <w:rPr>
          <w:sz w:val="20"/>
          <w:szCs w:val="20"/>
        </w:rPr>
      </w:pPr>
      <w:r w:rsidRPr="004714DA">
        <w:rPr>
          <w:sz w:val="20"/>
          <w:szCs w:val="20"/>
        </w:rPr>
        <w:t>For</w:t>
      </w:r>
      <w:r w:rsidR="000A47E5">
        <w:rPr>
          <w:sz w:val="20"/>
          <w:szCs w:val="20"/>
        </w:rPr>
        <w:t xml:space="preserve"> Love and Honor Campaign Reports</w:t>
      </w:r>
    </w:p>
    <w:p w:rsidR="005D105F" w:rsidRPr="004714DA" w:rsidRDefault="005D105F" w:rsidP="000945E2">
      <w:pPr>
        <w:pStyle w:val="NoSpacing"/>
        <w:numPr>
          <w:ilvl w:val="0"/>
          <w:numId w:val="15"/>
        </w:numPr>
        <w:rPr>
          <w:sz w:val="20"/>
          <w:szCs w:val="20"/>
        </w:rPr>
      </w:pPr>
      <w:r w:rsidRPr="004714DA">
        <w:rPr>
          <w:sz w:val="20"/>
          <w:szCs w:val="20"/>
        </w:rPr>
        <w:t>Facilities condition reports</w:t>
      </w:r>
      <w:r w:rsidR="000A47E5">
        <w:rPr>
          <w:sz w:val="20"/>
          <w:szCs w:val="20"/>
        </w:rPr>
        <w:t xml:space="preserve"> since 2006</w:t>
      </w:r>
    </w:p>
    <w:p w:rsidR="005D105F" w:rsidRPr="004714DA" w:rsidRDefault="005D105F" w:rsidP="000945E2">
      <w:pPr>
        <w:pStyle w:val="NoSpacing"/>
        <w:numPr>
          <w:ilvl w:val="0"/>
          <w:numId w:val="15"/>
        </w:numPr>
        <w:rPr>
          <w:sz w:val="20"/>
          <w:szCs w:val="20"/>
        </w:rPr>
      </w:pPr>
      <w:r w:rsidRPr="004714DA">
        <w:rPr>
          <w:sz w:val="20"/>
          <w:szCs w:val="20"/>
        </w:rPr>
        <w:t>Utilities reports</w:t>
      </w:r>
    </w:p>
    <w:p w:rsidR="005D105F" w:rsidRPr="00A6168C" w:rsidRDefault="000A47E5" w:rsidP="000945E2">
      <w:pPr>
        <w:pStyle w:val="NoSpacing"/>
        <w:numPr>
          <w:ilvl w:val="0"/>
          <w:numId w:val="15"/>
        </w:numPr>
        <w:rPr>
          <w:sz w:val="20"/>
          <w:szCs w:val="20"/>
        </w:rPr>
      </w:pPr>
      <w:r>
        <w:rPr>
          <w:sz w:val="20"/>
          <w:szCs w:val="20"/>
        </w:rPr>
        <w:t>IT Services Annual Reports</w:t>
      </w:r>
    </w:p>
    <w:p w:rsidR="007B3E37" w:rsidRDefault="007B3E37" w:rsidP="007B3E37">
      <w:pPr>
        <w:pStyle w:val="Heading2"/>
      </w:pPr>
      <w:r>
        <w:t>Reviewers</w:t>
      </w:r>
    </w:p>
    <w:p w:rsidR="007B3E37" w:rsidRDefault="00C32834" w:rsidP="005D105F">
      <w:pPr>
        <w:pStyle w:val="NoSpacing"/>
        <w:rPr>
          <w:sz w:val="20"/>
          <w:szCs w:val="20"/>
        </w:rPr>
      </w:pPr>
      <w:r>
        <w:rPr>
          <w:sz w:val="20"/>
          <w:szCs w:val="20"/>
        </w:rPr>
        <w:t>Ted Pickerill (President’s Office), David Ellis (</w:t>
      </w:r>
      <w:r w:rsidR="00E02DBF">
        <w:rPr>
          <w:sz w:val="20"/>
          <w:szCs w:val="20"/>
        </w:rPr>
        <w:t>Finance &amp; Business Services</w:t>
      </w:r>
      <w:r>
        <w:rPr>
          <w:sz w:val="20"/>
          <w:szCs w:val="20"/>
        </w:rPr>
        <w:t>), Lindsay Carpenter (Provost Office)</w:t>
      </w:r>
      <w:r w:rsidR="007E69B0">
        <w:rPr>
          <w:sz w:val="20"/>
          <w:szCs w:val="20"/>
        </w:rPr>
        <w:t>, Tom Herbert</w:t>
      </w:r>
    </w:p>
    <w:p w:rsidR="005D105F" w:rsidRDefault="005D105F" w:rsidP="005D105F">
      <w:pPr>
        <w:pStyle w:val="NoSpacing"/>
        <w:rPr>
          <w:sz w:val="20"/>
          <w:szCs w:val="20"/>
        </w:rPr>
      </w:pPr>
    </w:p>
    <w:p w:rsidR="005D105F" w:rsidRDefault="005D105F" w:rsidP="005D105F">
      <w:pPr>
        <w:pStyle w:val="NoSpacing"/>
        <w:rPr>
          <w:sz w:val="20"/>
          <w:szCs w:val="20"/>
        </w:rPr>
      </w:pPr>
    </w:p>
    <w:p w:rsidR="005D105F" w:rsidRPr="005D105F" w:rsidRDefault="005D105F" w:rsidP="005D105F">
      <w:pPr>
        <w:pStyle w:val="NoSpacing"/>
        <w:rPr>
          <w:sz w:val="20"/>
          <w:szCs w:val="20"/>
        </w:rPr>
      </w:pPr>
    </w:p>
    <w:p w:rsidR="007B3E37" w:rsidRPr="007B3E37" w:rsidRDefault="007B3E37" w:rsidP="007B3E37"/>
    <w:p w:rsidR="00E02DBF" w:rsidRDefault="00E02DBF">
      <w:pPr>
        <w:rPr>
          <w:b/>
          <w:bCs/>
          <w:spacing w:val="5"/>
          <w:sz w:val="24"/>
          <w:szCs w:val="24"/>
        </w:rPr>
      </w:pPr>
      <w:r>
        <w:br w:type="page"/>
      </w:r>
    </w:p>
    <w:p w:rsidR="007A22F2" w:rsidRPr="005672D6" w:rsidRDefault="007A22F2" w:rsidP="007A22F2">
      <w:pPr>
        <w:pStyle w:val="Heading4"/>
        <w:ind w:left="720" w:hanging="720"/>
      </w:pPr>
      <w:r>
        <w:t>5.B.</w:t>
      </w:r>
      <w:r w:rsidR="001F21FD">
        <w:tab/>
      </w:r>
      <w:r w:rsidRPr="005672D6">
        <w:t>The institution’s governance and administrative structures promote effective leadership and support collaborative processes that enable the institution to fulfill its mission.</w:t>
      </w:r>
    </w:p>
    <w:p w:rsidR="007F1FB3" w:rsidRPr="00FD1342" w:rsidRDefault="007F1FB3" w:rsidP="007F1FB3">
      <w:pPr>
        <w:pStyle w:val="Heading5"/>
        <w:ind w:left="720" w:hanging="720"/>
      </w:pPr>
      <w:r>
        <w:t>5.B.1.</w:t>
      </w:r>
      <w:r>
        <w:tab/>
      </w:r>
      <w:r w:rsidRPr="00FD1342">
        <w:t>The governing board is knowledgeable about the institution, provides oversight for the institution’s financial and academic policies and practices, and meets its legal and fiduciary responsibilities.</w:t>
      </w:r>
    </w:p>
    <w:p w:rsidR="007A22F2" w:rsidRPr="00FD1342" w:rsidRDefault="007F1FB3" w:rsidP="007A22F2">
      <w:pPr>
        <w:pStyle w:val="Heading5"/>
        <w:ind w:left="720" w:hanging="720"/>
      </w:pPr>
      <w:r>
        <w:t>5.B.2</w:t>
      </w:r>
      <w:r w:rsidR="007A22F2">
        <w:t>.</w:t>
      </w:r>
      <w:r w:rsidR="007A22F2">
        <w:tab/>
      </w:r>
      <w:r w:rsidR="007A22F2" w:rsidRPr="00FD1342">
        <w:t>The institution has and employs policies and procedures to engage its internal constituencies—including its governing board, administration, faculty, staff and students—in the institution’s governance.</w:t>
      </w:r>
    </w:p>
    <w:p w:rsidR="00FC3EC7" w:rsidRDefault="00977B92" w:rsidP="00977B92">
      <w:pPr>
        <w:pStyle w:val="Heading5"/>
        <w:ind w:left="720" w:hanging="720"/>
      </w:pPr>
      <w:r>
        <w:t>5.B.3.</w:t>
      </w:r>
      <w:r>
        <w:tab/>
      </w:r>
      <w:r w:rsidR="007F1FB3">
        <w:t>A</w:t>
      </w:r>
      <w:r w:rsidR="007A22F2" w:rsidRPr="00FD1342">
        <w:t>dministration, faculty, staff</w:t>
      </w:r>
      <w:r w:rsidR="007F1FB3">
        <w:t>,</w:t>
      </w:r>
      <w:r w:rsidR="007A22F2" w:rsidRPr="00FD1342">
        <w:t xml:space="preserve"> and students</w:t>
      </w:r>
      <w:r w:rsidR="007F1FB3">
        <w:t xml:space="preserve"> are involved</w:t>
      </w:r>
      <w:r w:rsidR="007A22F2" w:rsidRPr="00FD1342">
        <w:t xml:space="preserve"> in setting academic requirements, policy, and processes through effective structures for contribution and collaborative effort.</w:t>
      </w:r>
    </w:p>
    <w:p w:rsidR="00977B92" w:rsidRDefault="00977B92" w:rsidP="00977B92">
      <w:pPr>
        <w:pStyle w:val="Heading2"/>
      </w:pPr>
      <w:r>
        <w:t>Narrative</w:t>
      </w:r>
    </w:p>
    <w:p w:rsidR="00977B92" w:rsidRDefault="00977B92" w:rsidP="00564C44">
      <w:r>
        <w:t>Miami University advanc</w:t>
      </w:r>
      <w:r w:rsidR="00D73515">
        <w:t>es a culture of inclusive decision-making, collaborative governance,</w:t>
      </w:r>
      <w:r>
        <w:t xml:space="preserve"> and effective leadership through:</w:t>
      </w:r>
    </w:p>
    <w:p w:rsidR="0023301B" w:rsidRDefault="00D73515" w:rsidP="00F5054C">
      <w:pPr>
        <w:pStyle w:val="ListParagraph"/>
        <w:numPr>
          <w:ilvl w:val="0"/>
          <w:numId w:val="62"/>
        </w:numPr>
      </w:pPr>
      <w:r w:rsidRPr="00D73515">
        <w:rPr>
          <w:b/>
        </w:rPr>
        <w:t>C</w:t>
      </w:r>
      <w:r w:rsidR="00977B92" w:rsidRPr="00D73515">
        <w:rPr>
          <w:b/>
        </w:rPr>
        <w:t>lear org</w:t>
      </w:r>
      <w:r w:rsidR="00564C44" w:rsidRPr="00D73515">
        <w:rPr>
          <w:b/>
        </w:rPr>
        <w:t>anizational structure</w:t>
      </w:r>
      <w:r w:rsidR="00351D3D">
        <w:t xml:space="preserve"> which is </w:t>
      </w:r>
      <w:r w:rsidR="00564C44">
        <w:t>articulated in the policy manual and Board of Trus</w:t>
      </w:r>
      <w:r w:rsidR="00550B78">
        <w:t>tees regulations;</w:t>
      </w:r>
    </w:p>
    <w:p w:rsidR="007D3755" w:rsidRDefault="0023301B" w:rsidP="00F5054C">
      <w:pPr>
        <w:pStyle w:val="ListParagraph"/>
        <w:numPr>
          <w:ilvl w:val="0"/>
          <w:numId w:val="62"/>
        </w:numPr>
      </w:pPr>
      <w:r w:rsidRPr="00D73515">
        <w:rPr>
          <w:b/>
        </w:rPr>
        <w:t>Shared governance</w:t>
      </w:r>
      <w:r>
        <w:t xml:space="preserve"> maintained through</w:t>
      </w:r>
      <w:r w:rsidR="00977B92">
        <w:t xml:space="preserve"> </w:t>
      </w:r>
      <w:r w:rsidR="00221620">
        <w:t>administrative deliberative bodies</w:t>
      </w:r>
      <w:r w:rsidR="00564C44">
        <w:t xml:space="preserve">, such as </w:t>
      </w:r>
    </w:p>
    <w:p w:rsidR="009736F8" w:rsidRDefault="009736F8" w:rsidP="00F5054C">
      <w:pPr>
        <w:pStyle w:val="ListParagraph"/>
        <w:numPr>
          <w:ilvl w:val="1"/>
          <w:numId w:val="62"/>
        </w:numPr>
      </w:pPr>
      <w:r w:rsidRPr="009736F8">
        <w:rPr>
          <w:u w:val="single"/>
        </w:rPr>
        <w:t>President’s Executive Cabinet</w:t>
      </w:r>
      <w:r>
        <w:t xml:space="preserve"> which meets on call and is advisory to the President;</w:t>
      </w:r>
    </w:p>
    <w:p w:rsidR="009736F8" w:rsidRDefault="009736F8" w:rsidP="00F5054C">
      <w:pPr>
        <w:pStyle w:val="ListParagraph"/>
        <w:numPr>
          <w:ilvl w:val="1"/>
          <w:numId w:val="62"/>
        </w:numPr>
      </w:pPr>
      <w:r w:rsidRPr="009736F8">
        <w:rPr>
          <w:u w:val="single"/>
        </w:rPr>
        <w:t>Council of Academic Deans</w:t>
      </w:r>
      <w:r>
        <w:t xml:space="preserve"> which </w:t>
      </w:r>
      <w:r w:rsidR="00D268C1">
        <w:t xml:space="preserve">meets every two weeks during the academic year and </w:t>
      </w:r>
      <w:r>
        <w:t>serves as an advisory body to the Provost;</w:t>
      </w:r>
    </w:p>
    <w:p w:rsidR="009736F8" w:rsidRDefault="009736F8" w:rsidP="00F5054C">
      <w:pPr>
        <w:pStyle w:val="ListParagraph"/>
        <w:numPr>
          <w:ilvl w:val="1"/>
          <w:numId w:val="62"/>
        </w:numPr>
      </w:pPr>
      <w:r w:rsidRPr="009736F8">
        <w:rPr>
          <w:u w:val="single"/>
        </w:rPr>
        <w:t>University Promotion and Tenure Committee</w:t>
      </w:r>
      <w:r>
        <w:t xml:space="preserve"> which makes promotion and tenure recommendations to the Provost;</w:t>
      </w:r>
    </w:p>
    <w:p w:rsidR="007D3755" w:rsidRDefault="007D3755" w:rsidP="00F5054C">
      <w:pPr>
        <w:pStyle w:val="ListParagraph"/>
        <w:numPr>
          <w:ilvl w:val="1"/>
          <w:numId w:val="62"/>
        </w:numPr>
      </w:pPr>
      <w:r w:rsidRPr="00AD1CE0">
        <w:rPr>
          <w:u w:val="single"/>
        </w:rPr>
        <w:t>Faculty Assembly</w:t>
      </w:r>
      <w:r w:rsidR="00076323">
        <w:t xml:space="preserve"> which “may propose, debate, and recommend matters for Senate consideration</w:t>
      </w:r>
      <w:r w:rsidR="00833168">
        <w:t xml:space="preserve"> or for presentation to </w:t>
      </w:r>
      <w:r w:rsidR="00AD1CE0">
        <w:t>other</w:t>
      </w:r>
      <w:r w:rsidR="00076323">
        <w:t xml:space="preserve"> </w:t>
      </w:r>
      <w:r w:rsidR="00833168">
        <w:t>offici</w:t>
      </w:r>
      <w:r w:rsidR="00076323">
        <w:t>als or administrative bodies.  It may also challenge and refer back any University Senate action”</w:t>
      </w:r>
      <w:r w:rsidR="00833168">
        <w:t xml:space="preserve"> (MUPI</w:t>
      </w:r>
      <w:r w:rsidR="00076323">
        <w:t xml:space="preserve">M </w:t>
      </w:r>
      <w:r w:rsidR="00833168">
        <w:t>2.5)</w:t>
      </w:r>
      <w:r w:rsidR="00AD1CE0">
        <w:t>;</w:t>
      </w:r>
    </w:p>
    <w:p w:rsidR="009736F8" w:rsidRDefault="009736F8" w:rsidP="00F5054C">
      <w:pPr>
        <w:pStyle w:val="ListParagraph"/>
        <w:numPr>
          <w:ilvl w:val="1"/>
          <w:numId w:val="62"/>
        </w:numPr>
      </w:pPr>
      <w:r w:rsidRPr="009736F8">
        <w:rPr>
          <w:u w:val="single"/>
        </w:rPr>
        <w:t>Committee on Faculty Rights and Responsibilities</w:t>
      </w:r>
      <w:r>
        <w:t xml:space="preserve"> which formulates and recommends standards defining professional rights and responsibilities of the faculty, conducts hearings, and acts as a c</w:t>
      </w:r>
      <w:r w:rsidR="00351D3D">
        <w:t>ontinuing advisory body to the p</w:t>
      </w:r>
      <w:r>
        <w:t>resident on related policy matters.</w:t>
      </w:r>
    </w:p>
    <w:p w:rsidR="007D3755" w:rsidRDefault="007D3755" w:rsidP="00F5054C">
      <w:pPr>
        <w:pStyle w:val="ListParagraph"/>
        <w:numPr>
          <w:ilvl w:val="1"/>
          <w:numId w:val="62"/>
        </w:numPr>
      </w:pPr>
      <w:r w:rsidRPr="00AD1CE0">
        <w:rPr>
          <w:u w:val="single"/>
        </w:rPr>
        <w:t>University Senate</w:t>
      </w:r>
      <w:r w:rsidR="00833168">
        <w:t xml:space="preserve"> which “is the primary University governance body where students, faculty, staff, and administrators debate University issues and reach conclusions on the policies and actions to be taken by the institution. [It] is the legislative body of the University in matters involving educational programs, requirements, and standards; faculty welfare; and student conduct”</w:t>
      </w:r>
      <w:r w:rsidR="00AD1CE0">
        <w:t xml:space="preserve"> (MUPIM 2.6)</w:t>
      </w:r>
      <w:r w:rsidR="006C01F8">
        <w:t>. Minutes and agendas are posted on the University Senate website</w:t>
      </w:r>
      <w:r w:rsidR="00D268C1">
        <w:t xml:space="preserve"> for public viewing</w:t>
      </w:r>
      <w:r w:rsidR="006C01F8">
        <w:t>;</w:t>
      </w:r>
    </w:p>
    <w:p w:rsidR="009736F8" w:rsidRDefault="009736F8" w:rsidP="00F5054C">
      <w:pPr>
        <w:pStyle w:val="ListParagraph"/>
        <w:numPr>
          <w:ilvl w:val="1"/>
          <w:numId w:val="62"/>
        </w:numPr>
      </w:pPr>
      <w:r w:rsidRPr="009736F8">
        <w:rPr>
          <w:u w:val="single"/>
        </w:rPr>
        <w:t>Graduate Council</w:t>
      </w:r>
      <w:r>
        <w:t xml:space="preserve"> which recommends graduate program policy to University Senate;</w:t>
      </w:r>
    </w:p>
    <w:p w:rsidR="00F7346A" w:rsidRDefault="00E32A16" w:rsidP="00F5054C">
      <w:pPr>
        <w:pStyle w:val="ListParagraph"/>
        <w:numPr>
          <w:ilvl w:val="1"/>
          <w:numId w:val="62"/>
        </w:numPr>
      </w:pPr>
      <w:r w:rsidRPr="000D6AAD">
        <w:rPr>
          <w:u w:val="single"/>
        </w:rPr>
        <w:t>S</w:t>
      </w:r>
      <w:r w:rsidR="007D3755" w:rsidRPr="000D6AAD">
        <w:rPr>
          <w:u w:val="single"/>
        </w:rPr>
        <w:t>tudent Affairs Council</w:t>
      </w:r>
      <w:r w:rsidR="000D6AAD">
        <w:t xml:space="preserve"> which recommends student social conduct rules and regulations</w:t>
      </w:r>
      <w:r w:rsidR="00B148CE">
        <w:t xml:space="preserve"> and has</w:t>
      </w:r>
      <w:r w:rsidR="000D6AAD">
        <w:t xml:space="preserve"> legislative authority in the general realm of nonacademic student affairs;</w:t>
      </w:r>
    </w:p>
    <w:p w:rsidR="00F7346A" w:rsidRDefault="00096413" w:rsidP="00F5054C">
      <w:pPr>
        <w:pStyle w:val="ListParagraph"/>
        <w:numPr>
          <w:ilvl w:val="1"/>
          <w:numId w:val="62"/>
        </w:numPr>
      </w:pPr>
      <w:r w:rsidRPr="00F7346A">
        <w:rPr>
          <w:u w:val="single"/>
        </w:rPr>
        <w:t>Unclassified Personnel Advisory Committee</w:t>
      </w:r>
      <w:r w:rsidR="00DD03BA" w:rsidRPr="00DD03BA">
        <w:t xml:space="preserve"> and </w:t>
      </w:r>
      <w:r w:rsidRPr="00F7346A">
        <w:rPr>
          <w:u w:val="single"/>
        </w:rPr>
        <w:t>Classified Personnel Advisory Committee</w:t>
      </w:r>
      <w:r w:rsidR="00DD03BA">
        <w:t xml:space="preserve"> which </w:t>
      </w:r>
      <w:r w:rsidR="00DD03BA" w:rsidRPr="00F7346A">
        <w:t>advises on issues and questions raised by unclas</w:t>
      </w:r>
      <w:r w:rsidR="00B148CE">
        <w:t>sified staff in general, such as</w:t>
      </w:r>
      <w:r w:rsidR="00DD03BA" w:rsidRPr="00F7346A">
        <w:t>: health insurance, salaries, child care, holiday scheduling, Recreation Sports Center fees, and grievance procedures.</w:t>
      </w:r>
      <w:r w:rsidR="006C01F8" w:rsidRPr="00F7346A">
        <w:t xml:space="preserve">  Agendas and minutes are</w:t>
      </w:r>
      <w:r w:rsidR="006B798C">
        <w:t xml:space="preserve"> posted on a u</w:t>
      </w:r>
      <w:r w:rsidR="00B148CE">
        <w:t>niversity website;</w:t>
      </w:r>
    </w:p>
    <w:p w:rsidR="00F7346A" w:rsidRDefault="00D73515" w:rsidP="00F5054C">
      <w:pPr>
        <w:pStyle w:val="ListParagraph"/>
        <w:numPr>
          <w:ilvl w:val="1"/>
          <w:numId w:val="62"/>
        </w:numPr>
      </w:pPr>
      <w:r w:rsidRPr="00F7346A">
        <w:rPr>
          <w:u w:val="single"/>
        </w:rPr>
        <w:t>Associated Student G</w:t>
      </w:r>
      <w:r w:rsidR="00DD03BA" w:rsidRPr="00F7346A">
        <w:rPr>
          <w:u w:val="single"/>
        </w:rPr>
        <w:t>overnment</w:t>
      </w:r>
      <w:r w:rsidR="006C01F8" w:rsidRPr="00F7346A">
        <w:t xml:space="preserve"> serves as the unified governing student body</w:t>
      </w:r>
      <w:r w:rsidR="00F7346A" w:rsidRPr="00F7346A">
        <w:t xml:space="preserve"> and</w:t>
      </w:r>
      <w:r w:rsidR="006C01F8" w:rsidRPr="00F7346A">
        <w:t xml:space="preserve"> as an intermediary body between the administration and students. ASG acts as and advocates for the needs of students</w:t>
      </w:r>
      <w:r w:rsidR="00F7346A" w:rsidRPr="00F7346A">
        <w:t>;</w:t>
      </w:r>
    </w:p>
    <w:p w:rsidR="00564C44" w:rsidRPr="00F7346A" w:rsidRDefault="007E253B" w:rsidP="00F5054C">
      <w:pPr>
        <w:pStyle w:val="ListParagraph"/>
        <w:numPr>
          <w:ilvl w:val="1"/>
          <w:numId w:val="62"/>
        </w:numPr>
      </w:pPr>
      <w:r w:rsidRPr="00F7346A">
        <w:rPr>
          <w:u w:val="single"/>
        </w:rPr>
        <w:t>Graduate Student</w:t>
      </w:r>
      <w:r w:rsidR="00550B78" w:rsidRPr="00F7346A">
        <w:rPr>
          <w:u w:val="single"/>
        </w:rPr>
        <w:t xml:space="preserve"> Association</w:t>
      </w:r>
      <w:r w:rsidR="00F7346A" w:rsidRPr="00F7346A">
        <w:t xml:space="preserve"> promotes the academic, social</w:t>
      </w:r>
      <w:r w:rsidR="00B148CE">
        <w:t>,</w:t>
      </w:r>
      <w:r w:rsidR="00F7346A" w:rsidRPr="00F7346A">
        <w:t xml:space="preserve"> and ec</w:t>
      </w:r>
      <w:r w:rsidR="00351D3D">
        <w:t>onomic goals of Miami</w:t>
      </w:r>
      <w:r w:rsidR="00F7346A" w:rsidRPr="00F7346A">
        <w:t>'s graduate students.</w:t>
      </w:r>
    </w:p>
    <w:p w:rsidR="00076323" w:rsidRDefault="00076323" w:rsidP="00351D3D">
      <w:r>
        <w:t>It is also maintained through divisional and departmental governance.</w:t>
      </w:r>
      <w:r w:rsidR="000D6AAD">
        <w:t xml:space="preserve">  Departments and divisions are authorized to adopt rules, policies</w:t>
      </w:r>
      <w:r w:rsidR="00B148CE">
        <w:t>,</w:t>
      </w:r>
      <w:r w:rsidR="000D6AAD">
        <w:t xml:space="preserve"> and procedures</w:t>
      </w:r>
      <w:r w:rsidR="006B798C">
        <w:t xml:space="preserve"> (that are in alignment with u</w:t>
      </w:r>
      <w:r w:rsidR="002B20AF">
        <w:t>niversity rules, policies and procedures)</w:t>
      </w:r>
      <w:r w:rsidR="000D6AAD">
        <w:t xml:space="preserve"> for the discharge of responsibilities and </w:t>
      </w:r>
      <w:r w:rsidR="00DD03BA">
        <w:t>governance of th</w:t>
      </w:r>
      <w:r w:rsidR="002B20AF">
        <w:t>e unit</w:t>
      </w:r>
      <w:r w:rsidR="00DD03BA">
        <w:t>.</w:t>
      </w:r>
    </w:p>
    <w:p w:rsidR="00977B92" w:rsidRDefault="00977B92" w:rsidP="00F5054C">
      <w:pPr>
        <w:pStyle w:val="ListParagraph"/>
        <w:numPr>
          <w:ilvl w:val="0"/>
          <w:numId w:val="62"/>
        </w:numPr>
      </w:pPr>
      <w:r w:rsidRPr="00B64A61">
        <w:rPr>
          <w:b/>
        </w:rPr>
        <w:t>Leadership</w:t>
      </w:r>
      <w:r w:rsidR="00D73515" w:rsidRPr="00B64A61">
        <w:rPr>
          <w:b/>
        </w:rPr>
        <w:t xml:space="preserve"> development</w:t>
      </w:r>
      <w:r w:rsidR="00D73515">
        <w:t xml:space="preserve"> spearheaded by the </w:t>
      </w:r>
      <w:r w:rsidR="00351D3D">
        <w:t>Department of Human Resources, staff development unit, job enrichment p</w:t>
      </w:r>
      <w:r w:rsidR="0023301B">
        <w:t>rogram, PRIDE award, and LEAN Leader Certification Program</w:t>
      </w:r>
      <w:r w:rsidR="00550B78">
        <w:t xml:space="preserve"> </w:t>
      </w:r>
      <w:r w:rsidR="00096413">
        <w:t>(described in 5.A narrative).</w:t>
      </w:r>
    </w:p>
    <w:p w:rsidR="00977B92" w:rsidRDefault="00977B92" w:rsidP="00F5054C">
      <w:pPr>
        <w:pStyle w:val="ListParagraph"/>
        <w:numPr>
          <w:ilvl w:val="0"/>
          <w:numId w:val="62"/>
        </w:numPr>
      </w:pPr>
      <w:r w:rsidRPr="00194296">
        <w:rPr>
          <w:b/>
        </w:rPr>
        <w:t>Policies &amp; procedures</w:t>
      </w:r>
      <w:r w:rsidR="00194296">
        <w:t xml:space="preserve"> as articulated in </w:t>
      </w:r>
      <w:r w:rsidR="0023301B">
        <w:t>handbooks and manuals</w:t>
      </w:r>
      <w:r w:rsidR="00194296">
        <w:t xml:space="preserve"> (</w:t>
      </w:r>
      <w:r w:rsidR="003169F5">
        <w:t xml:space="preserve">e.g., </w:t>
      </w:r>
      <w:r w:rsidR="00194296">
        <w:t>MUPIM, student handbook, graduate handbook)</w:t>
      </w:r>
      <w:r w:rsidR="00550B78">
        <w:t>;</w:t>
      </w:r>
    </w:p>
    <w:p w:rsidR="00977B92" w:rsidRDefault="00977B92" w:rsidP="00F5054C">
      <w:pPr>
        <w:pStyle w:val="ListParagraph"/>
        <w:numPr>
          <w:ilvl w:val="0"/>
          <w:numId w:val="62"/>
        </w:numPr>
      </w:pPr>
      <w:r w:rsidRPr="003169F5">
        <w:rPr>
          <w:b/>
        </w:rPr>
        <w:t>Communication outlets</w:t>
      </w:r>
      <w:r w:rsidR="003169F5">
        <w:t xml:space="preserve">  which prov</w:t>
      </w:r>
      <w:r w:rsidR="002B20AF">
        <w:t>ide information and invite questions or comments</w:t>
      </w:r>
      <w:r w:rsidR="003169F5">
        <w:t xml:space="preserve"> such as </w:t>
      </w:r>
      <w:r>
        <w:t xml:space="preserve">annual </w:t>
      </w:r>
      <w:r w:rsidR="003169F5">
        <w:t xml:space="preserve">presidential </w:t>
      </w:r>
      <w:r>
        <w:t xml:space="preserve">addresses, </w:t>
      </w:r>
      <w:r w:rsidR="003169F5">
        <w:t xml:space="preserve">presidential </w:t>
      </w:r>
      <w:r>
        <w:t xml:space="preserve">e-newsletters, letters to faculty, </w:t>
      </w:r>
      <w:r w:rsidR="003169F5">
        <w:t xml:space="preserve">monthly academic </w:t>
      </w:r>
      <w:r>
        <w:t xml:space="preserve">administrators meetings, Senate and </w:t>
      </w:r>
      <w:r w:rsidR="003169F5">
        <w:t>Faculty Assembly meetings, e-reports</w:t>
      </w:r>
      <w:r w:rsidR="00EA0CEF">
        <w:t xml:space="preserve">, </w:t>
      </w:r>
      <w:r>
        <w:t>open forums</w:t>
      </w:r>
      <w:r w:rsidR="00221620">
        <w:t>, Twitter, websites, listservs</w:t>
      </w:r>
      <w:r w:rsidR="002B20AF">
        <w:t>,</w:t>
      </w:r>
      <w:r w:rsidR="00221620">
        <w:t xml:space="preserve"> and social media</w:t>
      </w:r>
      <w:r w:rsidR="003169F5">
        <w:t>;</w:t>
      </w:r>
    </w:p>
    <w:p w:rsidR="00977B92" w:rsidRDefault="00977B92" w:rsidP="00F5054C">
      <w:pPr>
        <w:pStyle w:val="ListParagraph"/>
        <w:numPr>
          <w:ilvl w:val="0"/>
          <w:numId w:val="62"/>
        </w:numPr>
      </w:pPr>
      <w:r w:rsidRPr="003169F5">
        <w:rPr>
          <w:b/>
        </w:rPr>
        <w:t>Involvement of faculty, administrators, students, staff in decisions</w:t>
      </w:r>
      <w:r w:rsidR="003169F5">
        <w:t xml:space="preserve"> such as, most recently, the revision of the Global Miami Plan and </w:t>
      </w:r>
      <w:r w:rsidR="00351D3D">
        <w:t>the Miami 2020 planning p</w:t>
      </w:r>
      <w:r>
        <w:t>rocess</w:t>
      </w:r>
      <w:r w:rsidR="002B20AF">
        <w:t>.</w:t>
      </w:r>
    </w:p>
    <w:p w:rsidR="006B56E5" w:rsidRDefault="006B56E5" w:rsidP="00640DA7">
      <w:r>
        <w:t>As describ</w:t>
      </w:r>
      <w:r w:rsidR="00640DA7">
        <w:t>ed in the narratives for Criteri</w:t>
      </w:r>
      <w:r>
        <w:t xml:space="preserve">a 2.A and 2.C, </w:t>
      </w:r>
      <w:r w:rsidR="00640DA7">
        <w:t xml:space="preserve">the Board of Trustees is actively involved in </w:t>
      </w:r>
      <w:r w:rsidR="00497A1A">
        <w:t>the life and operations of the u</w:t>
      </w:r>
      <w:r w:rsidR="00640DA7">
        <w:t>niversity and has the authority to “take all actions necessary for the successfu</w:t>
      </w:r>
      <w:r w:rsidR="00194296">
        <w:t>l and continuous operation of the University,” including the capacity to approve academic and financial policy and oversee the financial and administrative operations.</w:t>
      </w:r>
    </w:p>
    <w:p w:rsidR="0004413A" w:rsidRDefault="0004413A" w:rsidP="00640DA7">
      <w:r>
        <w:t>Miami has taken some recent steps to improve</w:t>
      </w:r>
      <w:r w:rsidR="00A26E44">
        <w:t xml:space="preserve"> its</w:t>
      </w:r>
      <w:r>
        <w:t xml:space="preserve"> shared governance.  </w:t>
      </w:r>
    </w:p>
    <w:p w:rsidR="005408AE" w:rsidRDefault="00F60EB3" w:rsidP="00F5054C">
      <w:pPr>
        <w:pStyle w:val="ListParagraph"/>
        <w:numPr>
          <w:ilvl w:val="0"/>
          <w:numId w:val="63"/>
        </w:numPr>
      </w:pPr>
      <w:r>
        <w:t>Following the closing of the School of Interdisciplinary Studies in 2008 which spark</w:t>
      </w:r>
      <w:r w:rsidR="00096413">
        <w:t>ed concerns from</w:t>
      </w:r>
      <w:r>
        <w:t xml:space="preserve"> some faculty</w:t>
      </w:r>
      <w:r w:rsidR="00096413">
        <w:t xml:space="preserve"> and alumni</w:t>
      </w:r>
      <w:r>
        <w:t>, University Senate passed a resolution (SR 08-09) that articu</w:t>
      </w:r>
      <w:r w:rsidR="005408AE">
        <w:t>lated a more transparent guide</w:t>
      </w:r>
      <w:r>
        <w:t xml:space="preserve"> for eliminating, merging, consolidating</w:t>
      </w:r>
      <w:r w:rsidR="005408AE">
        <w:t>, partitioning</w:t>
      </w:r>
      <w:r w:rsidR="00A26E44">
        <w:t>,</w:t>
      </w:r>
      <w:r w:rsidR="005408AE">
        <w:t xml:space="preserve"> or transferring</w:t>
      </w:r>
      <w:r>
        <w:t xml:space="preserve"> academic programs.  That resolution was further refined in 2014 (SR 14-01).</w:t>
      </w:r>
      <w:r w:rsidR="00497A1A">
        <w:t xml:space="preserve"> </w:t>
      </w:r>
      <w:r w:rsidR="00096413">
        <w:t>Since 2</w:t>
      </w:r>
      <w:r w:rsidR="00A26E44">
        <w:t>0</w:t>
      </w:r>
      <w:r w:rsidR="00096413">
        <w:t>09, t</w:t>
      </w:r>
      <w:r w:rsidR="005408AE">
        <w:t>hi</w:t>
      </w:r>
      <w:r w:rsidR="00096413">
        <w:t>s guide has been</w:t>
      </w:r>
      <w:r w:rsidR="005408AE">
        <w:t xml:space="preserve"> used in the restructuring of several academic units: (1) the merging of the departments of zoology and botany into a single department of biology; (2) the creation of the College of Professional Studies &amp; Applied Sciences and the merging of the two regional campuses; (3) the merging of the Department of Communication</w:t>
      </w:r>
      <w:r w:rsidR="00010BF3">
        <w:t>, the journalism program</w:t>
      </w:r>
      <w:r w:rsidR="007B3BF5">
        <w:t>,</w:t>
      </w:r>
      <w:r w:rsidR="00010BF3">
        <w:t xml:space="preserve"> and the film studies program into a single Department of Media, Journalism</w:t>
      </w:r>
      <w:r w:rsidR="00427B74">
        <w:t>,</w:t>
      </w:r>
      <w:r w:rsidR="00010BF3">
        <w:t xml:space="preserve"> and Film.  It is currently being used to develop a global studies unit within the College of Arts &amp; Science.</w:t>
      </w:r>
    </w:p>
    <w:p w:rsidR="00F60EB3" w:rsidRDefault="00F60EB3" w:rsidP="00F5054C">
      <w:pPr>
        <w:pStyle w:val="ListParagraph"/>
        <w:numPr>
          <w:ilvl w:val="0"/>
          <w:numId w:val="63"/>
        </w:numPr>
      </w:pPr>
      <w:r>
        <w:t>Prior to 2012, the agenda for F</w:t>
      </w:r>
      <w:r w:rsidR="00497A1A">
        <w:t>aculty Assembly was set by the p</w:t>
      </w:r>
      <w:r>
        <w:t>res</w:t>
      </w:r>
      <w:r w:rsidR="007B3BF5">
        <w:t>ident in consultation with the p</w:t>
      </w:r>
      <w:r>
        <w:t>rovost.  In 2012, a Faculty Assembly Steering Committee was constituted which consists of faculty representatives from all academic divisions a</w:t>
      </w:r>
      <w:r w:rsidR="0044025D">
        <w:t xml:space="preserve">nd makes recommendations </w:t>
      </w:r>
      <w:r w:rsidR="00A26E44">
        <w:t xml:space="preserve">to the president </w:t>
      </w:r>
      <w:r w:rsidR="0044025D">
        <w:t>on agenda items.</w:t>
      </w:r>
    </w:p>
    <w:p w:rsidR="005408AE" w:rsidRDefault="0044025D" w:rsidP="00F5054C">
      <w:pPr>
        <w:pStyle w:val="ListParagraph"/>
        <w:numPr>
          <w:ilvl w:val="0"/>
          <w:numId w:val="63"/>
        </w:numPr>
      </w:pPr>
      <w:r>
        <w:t>The Global Miami Plan revision process included multiple opportunities for input from members of the Miami community.  The proposal underwent numerous revisions based upon salient feedback before being approved in April 2014.</w:t>
      </w:r>
    </w:p>
    <w:p w:rsidR="008272C8" w:rsidRDefault="008272C8" w:rsidP="00F5054C">
      <w:pPr>
        <w:pStyle w:val="ListParagraph"/>
        <w:numPr>
          <w:ilvl w:val="0"/>
          <w:numId w:val="63"/>
        </w:numPr>
      </w:pPr>
      <w:r>
        <w:t xml:space="preserve">In </w:t>
      </w:r>
      <w:r w:rsidR="00365BAC">
        <w:t xml:space="preserve">March </w:t>
      </w:r>
      <w:r>
        <w:t xml:space="preserve">2014, the Governance Committee of University Senate reviewed </w:t>
      </w:r>
      <w:r w:rsidR="00365BAC">
        <w:t>the composition of</w:t>
      </w:r>
      <w:r>
        <w:t xml:space="preserve"> all Senate committees </w:t>
      </w:r>
      <w:r w:rsidR="00365BAC">
        <w:t>and made appropriate revisions to the Bylaws of University Senate</w:t>
      </w:r>
      <w:r w:rsidR="00A26E44" w:rsidRPr="00A26E44">
        <w:t xml:space="preserve"> </w:t>
      </w:r>
      <w:r w:rsidR="00A26E44">
        <w:t>to ensure fairness in representation</w:t>
      </w:r>
      <w:r w:rsidR="00365BAC">
        <w:t>.</w:t>
      </w:r>
    </w:p>
    <w:p w:rsidR="0044025D" w:rsidRDefault="007229F9" w:rsidP="00F5054C">
      <w:pPr>
        <w:pStyle w:val="ListParagraph"/>
        <w:numPr>
          <w:ilvl w:val="0"/>
          <w:numId w:val="63"/>
        </w:numPr>
      </w:pPr>
      <w:r>
        <w:t>The Miami 2020 Plan involved an unprecedented number of faculty, staff, students</w:t>
      </w:r>
      <w:r w:rsidR="00864CCF">
        <w:t>, and Board of Trustee</w:t>
      </w:r>
      <w:r w:rsidR="00365BAC">
        <w:t>s</w:t>
      </w:r>
      <w:r w:rsidR="00864CCF">
        <w:t xml:space="preserve"> members</w:t>
      </w:r>
      <w:r>
        <w:t xml:space="preserve"> in its development and ongoing implementation.  </w:t>
      </w:r>
    </w:p>
    <w:p w:rsidR="00977B92" w:rsidRPr="000F5B14" w:rsidRDefault="007229F9" w:rsidP="000F5B14">
      <w:r w:rsidRPr="000F5B14">
        <w:t>Although all of these steps are significant, Miam</w:t>
      </w:r>
      <w:r w:rsidR="00864CCF">
        <w:t>i remains committed to increasing</w:t>
      </w:r>
      <w:r w:rsidRPr="000F5B14">
        <w:t xml:space="preserve"> the involvement of faculty, staff, students</w:t>
      </w:r>
      <w:r w:rsidR="00E627DD">
        <w:t>,</w:t>
      </w:r>
      <w:r w:rsidRPr="000F5B14">
        <w:t xml:space="preserve"> and other stakeholders in it</w:t>
      </w:r>
      <w:r w:rsidR="000F5B14" w:rsidRPr="000F5B14">
        <w:t>s key initiatives and decisions, through d</w:t>
      </w:r>
      <w:r w:rsidR="00977B92" w:rsidRPr="000F5B14">
        <w:t>igita</w:t>
      </w:r>
      <w:r w:rsidR="000F5B14" w:rsidRPr="000F5B14">
        <w:t>l, print</w:t>
      </w:r>
      <w:r w:rsidR="00E627DD">
        <w:t>,</w:t>
      </w:r>
      <w:r w:rsidR="000F5B14" w:rsidRPr="000F5B14">
        <w:t xml:space="preserve"> and face-to-face communication </w:t>
      </w:r>
      <w:r w:rsidR="000F5B14">
        <w:t>modes.</w:t>
      </w:r>
    </w:p>
    <w:p w:rsidR="00977B92" w:rsidRDefault="00977B92" w:rsidP="00977B92">
      <w:pPr>
        <w:pStyle w:val="Heading2"/>
      </w:pPr>
      <w:r>
        <w:t>Sources</w:t>
      </w:r>
    </w:p>
    <w:p w:rsidR="00A1539E" w:rsidRPr="001055B0" w:rsidRDefault="00564C44" w:rsidP="00F5054C">
      <w:pPr>
        <w:pStyle w:val="NoSpacing"/>
        <w:numPr>
          <w:ilvl w:val="0"/>
          <w:numId w:val="66"/>
        </w:numPr>
      </w:pPr>
      <w:r w:rsidRPr="001055B0">
        <w:t xml:space="preserve">MUPIM (section 2.1 and 2.3) </w:t>
      </w:r>
    </w:p>
    <w:p w:rsidR="00564C44" w:rsidRPr="001055B0" w:rsidRDefault="00564C44" w:rsidP="00F5054C">
      <w:pPr>
        <w:pStyle w:val="NoSpacing"/>
        <w:numPr>
          <w:ilvl w:val="0"/>
          <w:numId w:val="66"/>
        </w:numPr>
      </w:pPr>
      <w:r w:rsidRPr="001055B0">
        <w:t>MUPIM 2.4--PEC, COAD, UPT), Faculty Assembly, see MUPIM 2.5 and Faculty Assembly Introductory Article), University Senate (see 2.6 and enabling act), Student Affairs Council (2.7), Graduate Council (2.8), Departmental &amp; Divisional Governance (2.9) plus other committees such as UPAC, CPAC, ASG, GSA</w:t>
      </w:r>
    </w:p>
    <w:p w:rsidR="00564C44" w:rsidRPr="001055B0" w:rsidRDefault="00564C44" w:rsidP="00F5054C">
      <w:pPr>
        <w:pStyle w:val="NoSpacing"/>
        <w:numPr>
          <w:ilvl w:val="0"/>
          <w:numId w:val="66"/>
        </w:numPr>
      </w:pPr>
      <w:r w:rsidRPr="001055B0">
        <w:t xml:space="preserve">BOT Regulations </w:t>
      </w:r>
    </w:p>
    <w:p w:rsidR="0036633F" w:rsidRPr="001055B0" w:rsidRDefault="0036633F" w:rsidP="00F5054C">
      <w:pPr>
        <w:pStyle w:val="NoSpacing"/>
        <w:numPr>
          <w:ilvl w:val="0"/>
          <w:numId w:val="66"/>
        </w:numPr>
      </w:pPr>
      <w:r w:rsidRPr="001055B0">
        <w:t>Enabling Act of University Senate</w:t>
      </w:r>
    </w:p>
    <w:p w:rsidR="0036633F" w:rsidRPr="001055B0" w:rsidRDefault="0036633F" w:rsidP="00F5054C">
      <w:pPr>
        <w:pStyle w:val="NoSpacing"/>
        <w:numPr>
          <w:ilvl w:val="0"/>
          <w:numId w:val="66"/>
        </w:numPr>
      </w:pPr>
      <w:r w:rsidRPr="001055B0">
        <w:t>Faculty Assembly Introductory Article</w:t>
      </w:r>
    </w:p>
    <w:p w:rsidR="00977B92" w:rsidRPr="001055B0" w:rsidRDefault="00977B92" w:rsidP="00F5054C">
      <w:pPr>
        <w:pStyle w:val="NoSpacing"/>
        <w:numPr>
          <w:ilvl w:val="0"/>
          <w:numId w:val="66"/>
        </w:numPr>
      </w:pPr>
      <w:r w:rsidRPr="001055B0">
        <w:t>Charge and minutes of new Faculty Assembly Committee</w:t>
      </w:r>
    </w:p>
    <w:p w:rsidR="00977B92" w:rsidRPr="001055B0" w:rsidRDefault="00977B92" w:rsidP="00F5054C">
      <w:pPr>
        <w:pStyle w:val="NoSpacing"/>
        <w:numPr>
          <w:ilvl w:val="0"/>
          <w:numId w:val="66"/>
        </w:numPr>
      </w:pPr>
      <w:r w:rsidRPr="001055B0">
        <w:t>University Senate Governance</w:t>
      </w:r>
      <w:r w:rsidR="00365BAC" w:rsidRPr="001055B0">
        <w:t xml:space="preserve"> Committee Proposed Revisions to Bylaws (March 2014)</w:t>
      </w:r>
      <w:r w:rsidRPr="001055B0">
        <w:t xml:space="preserve">; </w:t>
      </w:r>
    </w:p>
    <w:p w:rsidR="00977B92" w:rsidRDefault="00977B92" w:rsidP="00F5054C">
      <w:pPr>
        <w:pStyle w:val="NoSpacing"/>
        <w:numPr>
          <w:ilvl w:val="0"/>
          <w:numId w:val="66"/>
        </w:numPr>
      </w:pPr>
      <w:r w:rsidRPr="001055B0">
        <w:t>University Senate and standing committees org chart [http://community.muohio.edu/senate/node/2]</w:t>
      </w:r>
    </w:p>
    <w:p w:rsidR="007B3BF5" w:rsidRPr="001055B0" w:rsidRDefault="007B3BF5" w:rsidP="005019F7">
      <w:pPr>
        <w:pStyle w:val="NoSpacing"/>
        <w:ind w:left="360"/>
      </w:pPr>
    </w:p>
    <w:p w:rsidR="001F21FD" w:rsidRDefault="001F21FD">
      <w:r>
        <w:br w:type="page"/>
      </w:r>
    </w:p>
    <w:p w:rsidR="001F21FD" w:rsidRPr="005672D6" w:rsidRDefault="001F21FD" w:rsidP="001F21FD">
      <w:pPr>
        <w:pStyle w:val="Heading4"/>
      </w:pPr>
      <w:r w:rsidRPr="00E360AE">
        <w:t>5</w:t>
      </w:r>
      <w:r>
        <w:t>.C.</w:t>
      </w:r>
      <w:r>
        <w:tab/>
      </w:r>
      <w:r w:rsidRPr="005672D6">
        <w:t>The institution engages in systematic and integrated planning.</w:t>
      </w:r>
    </w:p>
    <w:p w:rsidR="001F21FD" w:rsidRPr="001F21FD" w:rsidRDefault="001F21FD" w:rsidP="001F21FD">
      <w:pPr>
        <w:pStyle w:val="Heading5"/>
        <w:rPr>
          <w:sz w:val="22"/>
          <w:szCs w:val="22"/>
        </w:rPr>
      </w:pPr>
      <w:r w:rsidRPr="001F21FD">
        <w:rPr>
          <w:sz w:val="22"/>
          <w:szCs w:val="22"/>
        </w:rPr>
        <w:t>5.C.1.</w:t>
      </w:r>
      <w:r w:rsidRPr="001F21FD">
        <w:rPr>
          <w:sz w:val="22"/>
          <w:szCs w:val="22"/>
        </w:rPr>
        <w:tab/>
        <w:t>The institution allocates its resources in alignment with its mission and priorities.</w:t>
      </w:r>
    </w:p>
    <w:p w:rsidR="001F21FD" w:rsidRPr="001F21FD" w:rsidRDefault="001F21FD" w:rsidP="001F21FD">
      <w:pPr>
        <w:pStyle w:val="Heading5"/>
        <w:ind w:left="720" w:hanging="720"/>
        <w:rPr>
          <w:sz w:val="22"/>
          <w:szCs w:val="22"/>
        </w:rPr>
      </w:pPr>
      <w:r w:rsidRPr="001F21FD">
        <w:rPr>
          <w:sz w:val="22"/>
          <w:szCs w:val="22"/>
        </w:rPr>
        <w:t>5.C.2.</w:t>
      </w:r>
      <w:r w:rsidRPr="001F21FD">
        <w:rPr>
          <w:sz w:val="22"/>
          <w:szCs w:val="22"/>
        </w:rPr>
        <w:tab/>
        <w:t>The institution links its processes for assessment of student learning, evaluation of operations, planning, and budgeting.</w:t>
      </w:r>
    </w:p>
    <w:p w:rsidR="001F21FD" w:rsidRPr="001F21FD" w:rsidRDefault="001F21FD" w:rsidP="001F21FD">
      <w:pPr>
        <w:pStyle w:val="Heading5"/>
        <w:ind w:left="720" w:hanging="720"/>
        <w:rPr>
          <w:sz w:val="22"/>
          <w:szCs w:val="22"/>
        </w:rPr>
      </w:pPr>
      <w:r w:rsidRPr="001F21FD">
        <w:rPr>
          <w:sz w:val="22"/>
          <w:szCs w:val="22"/>
        </w:rPr>
        <w:t>5.C.4.</w:t>
      </w:r>
      <w:r w:rsidRPr="001F21FD">
        <w:rPr>
          <w:sz w:val="22"/>
          <w:szCs w:val="22"/>
        </w:rPr>
        <w:tab/>
        <w:t xml:space="preserve">The institution plans on the basis of a sound understanding of its current capacity.  Institutional plans anticipate the possible impact of fluctuations in the institution’s sources of revenue, such as enrollment, the economy, and state support.  </w:t>
      </w:r>
    </w:p>
    <w:p w:rsidR="001F21FD" w:rsidRDefault="00C23E9F" w:rsidP="001F21FD">
      <w:pPr>
        <w:pStyle w:val="Heading5"/>
        <w:ind w:left="720" w:hanging="720"/>
        <w:rPr>
          <w:sz w:val="22"/>
          <w:szCs w:val="22"/>
        </w:rPr>
      </w:pPr>
      <w:r>
        <w:rPr>
          <w:sz w:val="22"/>
          <w:szCs w:val="22"/>
        </w:rPr>
        <w:t>5.C.5.</w:t>
      </w:r>
      <w:r>
        <w:rPr>
          <w:sz w:val="22"/>
          <w:szCs w:val="22"/>
        </w:rPr>
        <w:tab/>
      </w:r>
      <w:r w:rsidR="001F21FD" w:rsidRPr="001F21FD">
        <w:rPr>
          <w:sz w:val="22"/>
          <w:szCs w:val="22"/>
        </w:rPr>
        <w:t>Institutional planning anticipates emerging factors, such as technology, demographic shifts, and globalization.</w:t>
      </w:r>
    </w:p>
    <w:p w:rsidR="001F21FD" w:rsidRDefault="001F21FD" w:rsidP="004C20F2">
      <w:pPr>
        <w:pStyle w:val="Heading2"/>
      </w:pPr>
      <w:r>
        <w:t>Narrative</w:t>
      </w:r>
    </w:p>
    <w:p w:rsidR="00690BC0" w:rsidRPr="008C4956" w:rsidRDefault="00F63536" w:rsidP="008C4956">
      <w:r w:rsidRPr="008C4956">
        <w:t>As is evident in th</w:t>
      </w:r>
      <w:r w:rsidR="00690BC0" w:rsidRPr="008C4956">
        <w:t xml:space="preserve">e development of </w:t>
      </w:r>
      <w:r w:rsidRPr="008C4956">
        <w:t xml:space="preserve">the </w:t>
      </w:r>
      <w:r w:rsidR="00847EDC" w:rsidRPr="008C4956">
        <w:t xml:space="preserve">Strategic Priorities Task Force Report and the </w:t>
      </w:r>
      <w:r w:rsidRPr="008C4956">
        <w:t xml:space="preserve">Miami 2020 Plan, </w:t>
      </w:r>
      <w:r w:rsidR="001055B0">
        <w:t xml:space="preserve">the </w:t>
      </w:r>
      <w:r w:rsidR="00497A1A">
        <w:t>u</w:t>
      </w:r>
      <w:r w:rsidR="005E5287" w:rsidRPr="008C4956">
        <w:t>niversity</w:t>
      </w:r>
      <w:r w:rsidR="001055B0">
        <w:t>’s</w:t>
      </w:r>
      <w:r w:rsidR="005E5287" w:rsidRPr="008C4956">
        <w:t xml:space="preserve"> mission, academic goals, objectives</w:t>
      </w:r>
      <w:r w:rsidR="00E627DD">
        <w:t>,</w:t>
      </w:r>
      <w:r w:rsidR="005E5287" w:rsidRPr="008C4956">
        <w:t xml:space="preserve"> and metrics drive operational decisions, budget plans</w:t>
      </w:r>
      <w:r w:rsidR="001055B0">
        <w:t>,</w:t>
      </w:r>
      <w:r w:rsidR="005E5287" w:rsidRPr="008C4956">
        <w:t xml:space="preserve"> and resource allocations</w:t>
      </w:r>
      <w:r w:rsidR="00A5494E" w:rsidRPr="008C4956">
        <w:t xml:space="preserve">. </w:t>
      </w:r>
    </w:p>
    <w:p w:rsidR="00567F13" w:rsidRPr="00567F13" w:rsidRDefault="00A863E6" w:rsidP="0051431E">
      <w:r w:rsidRPr="00567F13">
        <w:t>Both of these key planning processes b</w:t>
      </w:r>
      <w:r w:rsidR="00497A1A">
        <w:t>egan with consideration of the u</w:t>
      </w:r>
      <w:r w:rsidRPr="00567F13">
        <w:t xml:space="preserve">niversity’s mission and vision and were shaped by financial, academic and administrative data.  </w:t>
      </w:r>
      <w:r w:rsidR="0051431E">
        <w:t xml:space="preserve">The Office of Institutional Research and </w:t>
      </w:r>
      <w:r w:rsidR="00B40C79">
        <w:t xml:space="preserve">University </w:t>
      </w:r>
      <w:r w:rsidR="0051431E">
        <w:t>Budget Office provided data as needed to t</w:t>
      </w:r>
      <w:r w:rsidR="00497A1A">
        <w:t>he co-chairs of the Miami 2020 coordinating t</w:t>
      </w:r>
      <w:r w:rsidR="0051431E">
        <w:t>eam and to the chairs of the Strategic Priorities Task Force.</w:t>
      </w:r>
      <w:r w:rsidR="005D7E9F">
        <w:t xml:space="preserve">  The Offices of the President and Provost also offered</w:t>
      </w:r>
      <w:r w:rsidR="00643AC9">
        <w:t xml:space="preserve"> the task force and the coordinating team</w:t>
      </w:r>
      <w:r w:rsidR="005D7E9F">
        <w:t xml:space="preserve"> insights into the strengths, challenges, future needs</w:t>
      </w:r>
      <w:r w:rsidR="00E627DD">
        <w:t>, and capacities</w:t>
      </w:r>
      <w:r w:rsidR="005D7E9F">
        <w:t xml:space="preserve"> of the institution.</w:t>
      </w:r>
    </w:p>
    <w:p w:rsidR="00847EDC" w:rsidRDefault="00643AC9" w:rsidP="00567F13">
      <w:r>
        <w:t>In addition to having access to a multitude of internal data and insights</w:t>
      </w:r>
      <w:r w:rsidR="00E627DD">
        <w:t xml:space="preserve"> from leaders</w:t>
      </w:r>
      <w:r>
        <w:t xml:space="preserve">, the task force and coordinating </w:t>
      </w:r>
      <w:r w:rsidR="00497A1A">
        <w:t xml:space="preserve">team </w:t>
      </w:r>
      <w:r w:rsidR="00E86D88" w:rsidRPr="00567F13">
        <w:t xml:space="preserve">engaged in extensive research on emerging trends and anticipated challenges related to Miami University and higher education in general.  </w:t>
      </w:r>
    </w:p>
    <w:p w:rsidR="00FB3741" w:rsidRDefault="00864CCF" w:rsidP="00567F13">
      <w:r>
        <w:t>For example, t</w:t>
      </w:r>
      <w:r w:rsidR="00497A1A">
        <w:t>he SPTF r</w:t>
      </w:r>
      <w:r w:rsidR="002679A6">
        <w:t xml:space="preserve">eport states: “Many foreseeable shifts in economic, social, and political conditions will combine to create a much different resource environment for higher education for decades to come. A few of these </w:t>
      </w:r>
      <w:r w:rsidR="00C93ED0">
        <w:t>shifts, such as diminished government support, have already occurred, while other trends, such as the decline in college-age population, will accelerate in this decade.”   The report includes a lengthy discussion on these shifts as well as their possible implications for Miami’s future.</w:t>
      </w:r>
    </w:p>
    <w:p w:rsidR="00FB3741" w:rsidRDefault="00A375FC" w:rsidP="00A375FC">
      <w:r>
        <w:t>Early in their deliberations, t</w:t>
      </w:r>
      <w:r w:rsidR="00C93ED0">
        <w:t xml:space="preserve">he Miami 2020 Plan Coordinating Team </w:t>
      </w:r>
      <w:r>
        <w:t xml:space="preserve">invited </w:t>
      </w:r>
      <w:r w:rsidR="00FB3741">
        <w:rPr>
          <w:shd w:val="clear" w:color="auto" w:fill="FFFFFF"/>
        </w:rPr>
        <w:t xml:space="preserve">Jeff Selingo, editor at large of </w:t>
      </w:r>
      <w:r w:rsidR="00FB3741" w:rsidRPr="00B40C79">
        <w:rPr>
          <w:u w:val="single"/>
          <w:shd w:val="clear" w:color="auto" w:fill="FFFFFF"/>
        </w:rPr>
        <w:t>The Chronic</w:t>
      </w:r>
      <w:r w:rsidR="00D453BE" w:rsidRPr="00B40C79">
        <w:rPr>
          <w:u w:val="single"/>
          <w:shd w:val="clear" w:color="auto" w:fill="FFFFFF"/>
        </w:rPr>
        <w:t>le of Higher Education</w:t>
      </w:r>
      <w:r w:rsidR="00C40AA3">
        <w:rPr>
          <w:shd w:val="clear" w:color="auto" w:fill="FFFFFF"/>
        </w:rPr>
        <w:t>, to gain insights into</w:t>
      </w:r>
      <w:r w:rsidR="00FB3741">
        <w:rPr>
          <w:shd w:val="clear" w:color="auto" w:fill="FFFFFF"/>
        </w:rPr>
        <w:t xml:space="preserve"> future trends in higher education</w:t>
      </w:r>
      <w:r>
        <w:rPr>
          <w:shd w:val="clear" w:color="auto" w:fill="FFFFFF"/>
        </w:rPr>
        <w:t xml:space="preserve"> as well as </w:t>
      </w:r>
      <w:r w:rsidR="00FB3741">
        <w:rPr>
          <w:shd w:val="clear" w:color="auto" w:fill="FFFFFF"/>
        </w:rPr>
        <w:t>John Foster, founder of Gamut Labs, LLC and Miami</w:t>
      </w:r>
      <w:r>
        <w:rPr>
          <w:shd w:val="clear" w:color="auto" w:fill="FFFFFF"/>
        </w:rPr>
        <w:t xml:space="preserve"> alumnus, </w:t>
      </w:r>
      <w:r w:rsidR="00C40AA3">
        <w:rPr>
          <w:shd w:val="clear" w:color="auto" w:fill="FFFFFF"/>
        </w:rPr>
        <w:t>to provide education</w:t>
      </w:r>
      <w:r w:rsidR="005E5287">
        <w:rPr>
          <w:shd w:val="clear" w:color="auto" w:fill="FFFFFF"/>
        </w:rPr>
        <w:t xml:space="preserve"> on</w:t>
      </w:r>
      <w:r>
        <w:rPr>
          <w:shd w:val="clear" w:color="auto" w:fill="FFFFFF"/>
        </w:rPr>
        <w:t xml:space="preserve"> new processes for creative thinking</w:t>
      </w:r>
      <w:r w:rsidR="005E5287">
        <w:rPr>
          <w:shd w:val="clear" w:color="auto" w:fill="FFFFFF"/>
        </w:rPr>
        <w:t xml:space="preserve"> and </w:t>
      </w:r>
      <w:r>
        <w:rPr>
          <w:shd w:val="clear" w:color="auto" w:fill="FFFFFF"/>
        </w:rPr>
        <w:t>emerging trends related to technology</w:t>
      </w:r>
      <w:r w:rsidR="00C76D19">
        <w:rPr>
          <w:shd w:val="clear" w:color="auto" w:fill="FFFFFF"/>
        </w:rPr>
        <w:t>.</w:t>
      </w:r>
    </w:p>
    <w:p w:rsidR="0051431E" w:rsidRPr="00567F13" w:rsidRDefault="0051431E" w:rsidP="0051431E">
      <w:r w:rsidRPr="00567F13">
        <w:t xml:space="preserve">To </w:t>
      </w:r>
      <w:r w:rsidR="005D7E9F">
        <w:t xml:space="preserve">further </w:t>
      </w:r>
      <w:r w:rsidRPr="00567F13">
        <w:t>ensure the integration of budget, academic</w:t>
      </w:r>
      <w:r w:rsidR="00D453BE">
        <w:t>,</w:t>
      </w:r>
      <w:r w:rsidRPr="00567F13">
        <w:t xml:space="preserve"> and operations planning</w:t>
      </w:r>
      <w:r w:rsidR="00C76D19">
        <w:t xml:space="preserve"> and </w:t>
      </w:r>
      <w:r w:rsidR="00D453BE">
        <w:t xml:space="preserve">to foster </w:t>
      </w:r>
      <w:r w:rsidR="00C76D19">
        <w:t>data-driven decisions</w:t>
      </w:r>
      <w:r w:rsidR="00C40AA3">
        <w:t>, in 2012, the u</w:t>
      </w:r>
      <w:r w:rsidRPr="00567F13">
        <w:t xml:space="preserve">niversity purchased an </w:t>
      </w:r>
      <w:r w:rsidRPr="0051431E">
        <w:rPr>
          <w:b/>
        </w:rPr>
        <w:t>institutional analytics tool</w:t>
      </w:r>
      <w:r w:rsidRPr="00567F13">
        <w:t xml:space="preserve">, Oracle Business Intelligence Enterprise Edition (OBIEE). </w:t>
      </w:r>
      <w:r>
        <w:t xml:space="preserve"> </w:t>
      </w:r>
      <w:r w:rsidRPr="00567F13">
        <w:t xml:space="preserve">Dashboards </w:t>
      </w:r>
      <w:r w:rsidR="00C76D19">
        <w:t xml:space="preserve">and data warehouses </w:t>
      </w:r>
      <w:r w:rsidRPr="00567F13">
        <w:t xml:space="preserve">were developed using revenue data, and a </w:t>
      </w:r>
      <w:r w:rsidR="00C40AA3">
        <w:t>business intelligence team was formed</w:t>
      </w:r>
      <w:r>
        <w:t xml:space="preserve"> </w:t>
      </w:r>
      <w:r w:rsidR="00C40AA3">
        <w:t>to oversee</w:t>
      </w:r>
      <w:r w:rsidRPr="00567F13">
        <w:t xml:space="preserve"> key project wo</w:t>
      </w:r>
      <w:r>
        <w:t>rk streams in partnership with specialized teams focusing on specific projects</w:t>
      </w:r>
      <w:r w:rsidR="00C40AA3">
        <w:t>. Specialized</w:t>
      </w:r>
      <w:r w:rsidRPr="00567F13">
        <w:t xml:space="preserve"> teams are staffed with clients, IT resources</w:t>
      </w:r>
      <w:r w:rsidR="006856E5">
        <w:t>,</w:t>
      </w:r>
      <w:r w:rsidRPr="00567F13">
        <w:t xml:space="preserve"> and in some cases contracted consultants. Teams fo</w:t>
      </w:r>
      <w:r>
        <w:t>cus</w:t>
      </w:r>
      <w:r w:rsidRPr="00567F13">
        <w:t xml:space="preserve"> on requirements, metadata, testing</w:t>
      </w:r>
      <w:r w:rsidR="006856E5">
        <w:t>,</w:t>
      </w:r>
      <w:r w:rsidRPr="00567F13">
        <w:t xml:space="preserve"> and security.  </w:t>
      </w:r>
    </w:p>
    <w:p w:rsidR="0051431E" w:rsidRDefault="0051431E" w:rsidP="0051431E">
      <w:r w:rsidRPr="00567F13">
        <w:t>One of the first projects was to move the human resources model into the new tool to allow easily accessible data to create reports an</w:t>
      </w:r>
      <w:r w:rsidR="006856E5">
        <w:t xml:space="preserve">d dashboards.  The project </w:t>
      </w:r>
      <w:r w:rsidRPr="00567F13">
        <w:t>also link</w:t>
      </w:r>
      <w:r w:rsidR="006856E5">
        <w:t>ed the HR and r</w:t>
      </w:r>
      <w:r w:rsidRPr="00567F13">
        <w:t>evenue data to support the RCM budget model.</w:t>
      </w:r>
      <w:r w:rsidR="006856E5">
        <w:t xml:space="preserve">  A second project</w:t>
      </w:r>
      <w:r>
        <w:t xml:space="preserve"> focused on developing a more sophisticated enrollment </w:t>
      </w:r>
      <w:r w:rsidR="00B40C79">
        <w:t xml:space="preserve">and retention </w:t>
      </w:r>
      <w:r>
        <w:t>model.</w:t>
      </w:r>
    </w:p>
    <w:p w:rsidR="00B2320F" w:rsidRDefault="00B2320F" w:rsidP="0051431E">
      <w:r>
        <w:t xml:space="preserve">In addition, beginning in 2014, the Provost Office </w:t>
      </w:r>
      <w:r w:rsidR="006856E5">
        <w:t>began meeting</w:t>
      </w:r>
      <w:r>
        <w:t xml:space="preserve"> individually with academic deans eac</w:t>
      </w:r>
      <w:r w:rsidR="006856E5">
        <w:t>h semester to review each division’s</w:t>
      </w:r>
      <w:r w:rsidR="00D453BE">
        <w:t xml:space="preserve"> cash flow, budget</w:t>
      </w:r>
      <w:r>
        <w:t xml:space="preserve"> and hiring plans and to ensure that these</w:t>
      </w:r>
      <w:r w:rsidR="00687B9E">
        <w:t xml:space="preserve"> division’s</w:t>
      </w:r>
      <w:r>
        <w:t xml:space="preserve"> plans are not only in alignment with each other b</w:t>
      </w:r>
      <w:r w:rsidR="00687B9E">
        <w:t>ut also with the Miami 2020</w:t>
      </w:r>
      <w:r>
        <w:t xml:space="preserve"> </w:t>
      </w:r>
      <w:r w:rsidR="00D453BE">
        <w:t xml:space="preserve">goals and </w:t>
      </w:r>
      <w:r>
        <w:t>objectives.</w:t>
      </w:r>
    </w:p>
    <w:p w:rsidR="00A5494E" w:rsidRDefault="00687B9E" w:rsidP="0051431E">
      <w:r>
        <w:t>Finally, the academic program r</w:t>
      </w:r>
      <w:r w:rsidR="00A5494E">
        <w:t>eview process was substantially revised in 2014</w:t>
      </w:r>
      <w:r w:rsidR="00D453BE">
        <w:t>. R</w:t>
      </w:r>
      <w:r w:rsidR="00A5494E">
        <w:t>ather than solely reflecting on past su</w:t>
      </w:r>
      <w:r w:rsidR="00D453BE">
        <w:t>ccesses and ways of operating, APR now includes the creation of a strategic plan and the identification and discussion of key issues that the department will face in the near future.</w:t>
      </w:r>
    </w:p>
    <w:p w:rsidR="00A5494E" w:rsidRDefault="00E50F6C" w:rsidP="0051431E">
      <w:r>
        <w:t>Evidence that Miami’s plan</w:t>
      </w:r>
      <w:r w:rsidR="00550B78">
        <w:t>ning</w:t>
      </w:r>
      <w:r>
        <w:t xml:space="preserve"> account</w:t>
      </w:r>
      <w:r w:rsidR="00550B78">
        <w:t>s</w:t>
      </w:r>
      <w:r>
        <w:t xml:space="preserve"> for possible economic fluctuations and anticipate</w:t>
      </w:r>
      <w:r w:rsidR="00550B78">
        <w:t>s</w:t>
      </w:r>
      <w:r>
        <w:t xml:space="preserve"> emerging trends includes:</w:t>
      </w:r>
    </w:p>
    <w:p w:rsidR="00922F8D" w:rsidRDefault="00341926" w:rsidP="00F5054C">
      <w:pPr>
        <w:pStyle w:val="ListParagraph"/>
        <w:numPr>
          <w:ilvl w:val="0"/>
          <w:numId w:val="64"/>
        </w:numPr>
      </w:pPr>
      <w:r>
        <w:t xml:space="preserve">Hiring of new recruiters who reside in </w:t>
      </w:r>
      <w:r w:rsidR="00922F8D">
        <w:t>target domestic and international cities</w:t>
      </w:r>
      <w:r w:rsidR="00B15F7C">
        <w:t>;</w:t>
      </w:r>
    </w:p>
    <w:p w:rsidR="00922F8D" w:rsidRDefault="00922F8D" w:rsidP="00F5054C">
      <w:pPr>
        <w:pStyle w:val="ListParagraph"/>
        <w:numPr>
          <w:ilvl w:val="0"/>
          <w:numId w:val="64"/>
        </w:numPr>
      </w:pPr>
      <w:r>
        <w:t>Development of University Academic Scholars Programs that focus on “hot” themes and majors</w:t>
      </w:r>
      <w:r w:rsidR="00B15F7C">
        <w:t>;</w:t>
      </w:r>
    </w:p>
    <w:p w:rsidR="00922F8D" w:rsidRDefault="00922F8D" w:rsidP="00F5054C">
      <w:pPr>
        <w:pStyle w:val="ListParagraph"/>
        <w:numPr>
          <w:ilvl w:val="0"/>
          <w:numId w:val="64"/>
        </w:numPr>
      </w:pPr>
      <w:r>
        <w:t>Restructuring of scholarships for undergraduates and graduates</w:t>
      </w:r>
      <w:r w:rsidR="00B15F7C">
        <w:t>;</w:t>
      </w:r>
    </w:p>
    <w:p w:rsidR="00341926" w:rsidRDefault="00687B9E" w:rsidP="00F5054C">
      <w:pPr>
        <w:pStyle w:val="ListParagraph"/>
        <w:numPr>
          <w:ilvl w:val="0"/>
          <w:numId w:val="64"/>
        </w:numPr>
      </w:pPr>
      <w:r>
        <w:t>Creation of the one-stop enrollment c</w:t>
      </w:r>
      <w:r w:rsidR="00341926">
        <w:t>enter</w:t>
      </w:r>
      <w:r w:rsidR="00B15F7C">
        <w:t>;</w:t>
      </w:r>
    </w:p>
    <w:p w:rsidR="004C20F2" w:rsidRDefault="00F003DB" w:rsidP="00F5054C">
      <w:pPr>
        <w:pStyle w:val="ListParagraph"/>
        <w:numPr>
          <w:ilvl w:val="0"/>
          <w:numId w:val="64"/>
        </w:numPr>
      </w:pPr>
      <w:r>
        <w:t xml:space="preserve">Revision of </w:t>
      </w:r>
      <w:r w:rsidR="00341926">
        <w:t>the Global Miami Plan to focus on</w:t>
      </w:r>
      <w:r>
        <w:t xml:space="preserve"> </w:t>
      </w:r>
      <w:r w:rsidR="00341926">
        <w:t>21</w:t>
      </w:r>
      <w:r w:rsidR="00341926" w:rsidRPr="00B1588D">
        <w:rPr>
          <w:vertAlign w:val="superscript"/>
        </w:rPr>
        <w:t>st</w:t>
      </w:r>
      <w:r w:rsidR="00341926">
        <w:t xml:space="preserve"> century competencies</w:t>
      </w:r>
      <w:r w:rsidR="00B15F7C">
        <w:t>;</w:t>
      </w:r>
    </w:p>
    <w:p w:rsidR="004C20F2" w:rsidRDefault="00341926" w:rsidP="00F5054C">
      <w:pPr>
        <w:pStyle w:val="ListParagraph"/>
        <w:numPr>
          <w:ilvl w:val="0"/>
          <w:numId w:val="64"/>
        </w:numPr>
      </w:pPr>
      <w:r>
        <w:t xml:space="preserve">Creation of the Office of </w:t>
      </w:r>
      <w:r w:rsidR="004C20F2">
        <w:t>Global Initiatives</w:t>
      </w:r>
      <w:r w:rsidR="00B15F7C">
        <w:t>;</w:t>
      </w:r>
    </w:p>
    <w:p w:rsidR="004C20F2" w:rsidRDefault="00341926" w:rsidP="00F5054C">
      <w:pPr>
        <w:pStyle w:val="ListParagraph"/>
        <w:numPr>
          <w:ilvl w:val="0"/>
          <w:numId w:val="64"/>
        </w:numPr>
      </w:pPr>
      <w:r>
        <w:t>Development of the American Culture and English Program and the English Language Center</w:t>
      </w:r>
      <w:r w:rsidR="00B15F7C">
        <w:t xml:space="preserve"> to provide greater support for international students;</w:t>
      </w:r>
    </w:p>
    <w:p w:rsidR="004C20F2" w:rsidRDefault="00341926" w:rsidP="00F5054C">
      <w:pPr>
        <w:pStyle w:val="ListParagraph"/>
        <w:numPr>
          <w:ilvl w:val="0"/>
          <w:numId w:val="64"/>
        </w:numPr>
      </w:pPr>
      <w:r>
        <w:t>Hiring of a n</w:t>
      </w:r>
      <w:r w:rsidR="004C20F2">
        <w:t>ew assistant prov</w:t>
      </w:r>
      <w:r>
        <w:t xml:space="preserve">ost for e-learning and </w:t>
      </w:r>
      <w:r w:rsidR="00922F8D">
        <w:t>creation of the E-</w:t>
      </w:r>
      <w:r>
        <w:t>Learning Office</w:t>
      </w:r>
      <w:r w:rsidR="00B15F7C">
        <w:t>;</w:t>
      </w:r>
    </w:p>
    <w:p w:rsidR="00B1588D" w:rsidRDefault="00B1588D" w:rsidP="00F5054C">
      <w:pPr>
        <w:pStyle w:val="ListParagraph"/>
        <w:numPr>
          <w:ilvl w:val="0"/>
          <w:numId w:val="64"/>
        </w:numPr>
      </w:pPr>
      <w:r>
        <w:t>Development of a new academic partnerships committee and creation of dozens of agreements with international and domestic schools, colleges</w:t>
      </w:r>
      <w:r w:rsidR="00B15F7C">
        <w:t>,</w:t>
      </w:r>
      <w:r>
        <w:t xml:space="preserve"> and universities</w:t>
      </w:r>
      <w:r w:rsidR="00B15F7C">
        <w:t>.</w:t>
      </w:r>
    </w:p>
    <w:p w:rsidR="004C20F2" w:rsidRDefault="00B15F7C" w:rsidP="00681332">
      <w:r>
        <w:t>As Miami continues to make</w:t>
      </w:r>
      <w:r w:rsidR="00681332">
        <w:t xml:space="preserve"> substantive</w:t>
      </w:r>
      <w:r>
        <w:t xml:space="preserve"> forward-thinking changes</w:t>
      </w:r>
      <w:r w:rsidR="00681332">
        <w:t xml:space="preserve"> such as those listed above</w:t>
      </w:r>
      <w:r>
        <w:t xml:space="preserve">, </w:t>
      </w:r>
      <w:r w:rsidR="00681332">
        <w:t xml:space="preserve">it will be important to balance the impetus for flexible and rapid change with the need </w:t>
      </w:r>
      <w:r w:rsidR="004C20F2">
        <w:t>for careful</w:t>
      </w:r>
      <w:r w:rsidR="00527ED4">
        <w:t xml:space="preserve"> deliberation and</w:t>
      </w:r>
      <w:r w:rsidR="004C20F2">
        <w:t xml:space="preserve"> involvement</w:t>
      </w:r>
      <w:r w:rsidR="00527ED4">
        <w:t xml:space="preserve"> of faculty, staff, students</w:t>
      </w:r>
      <w:r w:rsidR="00665344">
        <w:t>,</w:t>
      </w:r>
      <w:r w:rsidR="00527ED4">
        <w:t xml:space="preserve"> and other stakeholders in decision </w:t>
      </w:r>
      <w:r w:rsidR="004C20F2">
        <w:t>making</w:t>
      </w:r>
      <w:r w:rsidR="00527ED4">
        <w:t>.</w:t>
      </w:r>
    </w:p>
    <w:p w:rsidR="001F21FD" w:rsidRDefault="007A7A20" w:rsidP="00565677">
      <w:pPr>
        <w:pStyle w:val="Heading2"/>
      </w:pPr>
      <w:r>
        <w:t>Sources</w:t>
      </w:r>
    </w:p>
    <w:p w:rsidR="00565677" w:rsidRPr="00FD1342" w:rsidRDefault="00565677" w:rsidP="000945E2">
      <w:pPr>
        <w:pStyle w:val="NoSpacing"/>
        <w:numPr>
          <w:ilvl w:val="0"/>
          <w:numId w:val="12"/>
        </w:numPr>
        <w:ind w:left="252" w:hanging="252"/>
        <w:rPr>
          <w:sz w:val="20"/>
          <w:szCs w:val="20"/>
        </w:rPr>
      </w:pPr>
      <w:r w:rsidRPr="00FD1342">
        <w:rPr>
          <w:sz w:val="20"/>
          <w:szCs w:val="20"/>
        </w:rPr>
        <w:t>Miami 2020 Plan</w:t>
      </w:r>
    </w:p>
    <w:p w:rsidR="00565677" w:rsidRPr="00FD1342" w:rsidRDefault="00565677" w:rsidP="000945E2">
      <w:pPr>
        <w:pStyle w:val="NoSpacing"/>
        <w:numPr>
          <w:ilvl w:val="0"/>
          <w:numId w:val="12"/>
        </w:numPr>
        <w:ind w:left="252" w:hanging="252"/>
        <w:rPr>
          <w:sz w:val="20"/>
          <w:szCs w:val="20"/>
        </w:rPr>
      </w:pPr>
      <w:r w:rsidRPr="00FD1342">
        <w:rPr>
          <w:sz w:val="20"/>
          <w:szCs w:val="20"/>
        </w:rPr>
        <w:t>Strategic Priorities Task Force Report</w:t>
      </w:r>
    </w:p>
    <w:p w:rsidR="00D01D48" w:rsidRDefault="00D01D48" w:rsidP="00565677">
      <w:pPr>
        <w:pStyle w:val="NoSpacing"/>
        <w:rPr>
          <w:sz w:val="20"/>
          <w:szCs w:val="20"/>
        </w:rPr>
      </w:pPr>
    </w:p>
    <w:p w:rsidR="00565677" w:rsidRDefault="00565677" w:rsidP="00565677">
      <w:pPr>
        <w:pStyle w:val="NoSpacing"/>
        <w:rPr>
          <w:sz w:val="20"/>
          <w:szCs w:val="20"/>
        </w:rPr>
      </w:pPr>
    </w:p>
    <w:p w:rsidR="00565677" w:rsidRDefault="00565677" w:rsidP="00565677">
      <w:pPr>
        <w:pStyle w:val="NoSpacing"/>
        <w:rPr>
          <w:sz w:val="20"/>
          <w:szCs w:val="20"/>
        </w:rPr>
      </w:pPr>
    </w:p>
    <w:p w:rsidR="00565677" w:rsidRDefault="00565677">
      <w:pPr>
        <w:rPr>
          <w:b/>
          <w:i/>
        </w:rPr>
      </w:pPr>
      <w:r>
        <w:rPr>
          <w:b/>
          <w:i/>
        </w:rPr>
        <w:br w:type="page"/>
      </w:r>
    </w:p>
    <w:p w:rsidR="00565677" w:rsidRPr="005672D6" w:rsidRDefault="00FB1DD2" w:rsidP="00FB1DD2">
      <w:pPr>
        <w:pStyle w:val="Heading4"/>
      </w:pPr>
      <w:r>
        <w:t>5.D.</w:t>
      </w:r>
      <w:r>
        <w:tab/>
      </w:r>
      <w:r w:rsidR="00565677" w:rsidRPr="005672D6">
        <w:t>The institution works systematically to improve its performance.</w:t>
      </w:r>
    </w:p>
    <w:p w:rsidR="00565677" w:rsidRPr="00FB1DD2" w:rsidRDefault="00FB1DD2" w:rsidP="00FB1DD2">
      <w:pPr>
        <w:pStyle w:val="Heading5"/>
        <w:rPr>
          <w:sz w:val="22"/>
          <w:szCs w:val="22"/>
        </w:rPr>
      </w:pPr>
      <w:r>
        <w:rPr>
          <w:sz w:val="22"/>
          <w:szCs w:val="22"/>
        </w:rPr>
        <w:t>5.D.1.</w:t>
      </w:r>
      <w:r>
        <w:rPr>
          <w:sz w:val="22"/>
          <w:szCs w:val="22"/>
        </w:rPr>
        <w:tab/>
      </w:r>
      <w:r w:rsidR="00565677" w:rsidRPr="00FB1DD2">
        <w:rPr>
          <w:sz w:val="22"/>
          <w:szCs w:val="22"/>
        </w:rPr>
        <w:t>The institution develops and documents evidence of performance in its operations.</w:t>
      </w:r>
    </w:p>
    <w:p w:rsidR="00565677" w:rsidRPr="00FB1DD2" w:rsidRDefault="00FB1DD2" w:rsidP="00FB1DD2">
      <w:pPr>
        <w:pStyle w:val="Heading5"/>
        <w:ind w:left="720" w:hanging="720"/>
        <w:rPr>
          <w:sz w:val="22"/>
          <w:szCs w:val="22"/>
        </w:rPr>
      </w:pPr>
      <w:r>
        <w:rPr>
          <w:sz w:val="22"/>
          <w:szCs w:val="22"/>
        </w:rPr>
        <w:t>5.D.2.</w:t>
      </w:r>
      <w:r>
        <w:rPr>
          <w:sz w:val="22"/>
          <w:szCs w:val="22"/>
        </w:rPr>
        <w:tab/>
      </w:r>
      <w:r w:rsidR="00565677" w:rsidRPr="00FB1DD2">
        <w:rPr>
          <w:sz w:val="22"/>
          <w:szCs w:val="22"/>
        </w:rPr>
        <w:t>The institution learns from its operational experience and applies that learning to improve its institutional effectiveness, capabilities, and sustainability, overall and in its component parts.</w:t>
      </w:r>
    </w:p>
    <w:p w:rsidR="00565677" w:rsidRDefault="00565677" w:rsidP="00FB1DD2">
      <w:pPr>
        <w:pStyle w:val="Heading2"/>
      </w:pPr>
      <w:r>
        <w:t>Narrative</w:t>
      </w:r>
    </w:p>
    <w:p w:rsidR="00527ED4" w:rsidRDefault="008815A3" w:rsidP="00527ED4">
      <w:r>
        <w:t>As noted earlier, b</w:t>
      </w:r>
      <w:r w:rsidR="00527ED4">
        <w:t xml:space="preserve">oth the </w:t>
      </w:r>
      <w:r w:rsidR="00FB1DD2">
        <w:t xml:space="preserve">SPTF </w:t>
      </w:r>
      <w:r w:rsidR="00527ED4">
        <w:t xml:space="preserve">report </w:t>
      </w:r>
      <w:r w:rsidR="009D0CBC">
        <w:t>and Miami 2020 Plan have incorporated</w:t>
      </w:r>
      <w:r w:rsidR="00FB1DD2">
        <w:t xml:space="preserve"> key performance metrics or indicators.  </w:t>
      </w:r>
      <w:r w:rsidR="00527ED4">
        <w:t xml:space="preserve">Metrics </w:t>
      </w:r>
      <w:r w:rsidR="009D0CBC">
        <w:t xml:space="preserve">in these documents </w:t>
      </w:r>
      <w:r w:rsidR="00527ED4">
        <w:t>were created through carefu</w:t>
      </w:r>
      <w:r w:rsidR="00633E2E">
        <w:t>l analysis using institutional a</w:t>
      </w:r>
      <w:r w:rsidR="00527ED4">
        <w:t xml:space="preserve">nalytics, program review reports, conversations among </w:t>
      </w:r>
      <w:r w:rsidR="00EA066E">
        <w:t>administrators, enrollment trends,</w:t>
      </w:r>
      <w:r w:rsidR="00527ED4">
        <w:t xml:space="preserve"> and other </w:t>
      </w:r>
      <w:r w:rsidR="00633E2E">
        <w:t>institutional data.</w:t>
      </w:r>
    </w:p>
    <w:p w:rsidR="00FB1DD2" w:rsidRDefault="008815A3" w:rsidP="00527ED4">
      <w:r>
        <w:t>To ensure accountability, e</w:t>
      </w:r>
      <w:r w:rsidR="00FB1DD2">
        <w:t>ach year,</w:t>
      </w:r>
      <w:r>
        <w:t xml:space="preserve"> the Board of Trustees has asked</w:t>
      </w:r>
      <w:r w:rsidR="00FB1DD2">
        <w:t xml:space="preserve"> key administrators</w:t>
      </w:r>
      <w:r w:rsidR="00633E2E">
        <w:t xml:space="preserve"> to provide written and oral </w:t>
      </w:r>
      <w:r w:rsidR="00FB1DD2">
        <w:t>repor</w:t>
      </w:r>
      <w:r w:rsidR="00633E2E">
        <w:t>ts on progress relating to benchmark SPTF indic</w:t>
      </w:r>
      <w:r>
        <w:t>ators (from 2010 to 2014) and will continue to do the same for the</w:t>
      </w:r>
      <w:r w:rsidR="00633E2E">
        <w:t xml:space="preserve"> Miami 2020 Plan metrics (from 2015 forward)</w:t>
      </w:r>
      <w:r w:rsidR="00FB1DD2">
        <w:t>.</w:t>
      </w:r>
    </w:p>
    <w:p w:rsidR="00FB1DD2" w:rsidRPr="009127A9" w:rsidRDefault="00EA066E" w:rsidP="009127A9">
      <w:r>
        <w:t>These presentations are publicly posted on the Board of Trustees website, and summaries of reports are also included in the Miami e-Report.</w:t>
      </w:r>
    </w:p>
    <w:p w:rsidR="00FB1DD2" w:rsidRDefault="00FB1DD2" w:rsidP="009127A9">
      <w:r>
        <w:t xml:space="preserve">Examples </w:t>
      </w:r>
      <w:r w:rsidR="00EA066E">
        <w:t>of changes made based upon data</w:t>
      </w:r>
      <w:r>
        <w:t xml:space="preserve"> analyses include:</w:t>
      </w:r>
    </w:p>
    <w:p w:rsidR="00FB1DD2" w:rsidRDefault="00FB1DD2" w:rsidP="00F5054C">
      <w:pPr>
        <w:pStyle w:val="ListParagraph"/>
        <w:numPr>
          <w:ilvl w:val="0"/>
          <w:numId w:val="67"/>
        </w:numPr>
      </w:pPr>
      <w:r>
        <w:t>Development of new partnerships and transfer agreements</w:t>
      </w:r>
      <w:r w:rsidR="009D0CBC">
        <w:t xml:space="preserve"> with domestic and international institutions</w:t>
      </w:r>
      <w:r w:rsidR="00B67D49">
        <w:t>;</w:t>
      </w:r>
    </w:p>
    <w:p w:rsidR="00B67D49" w:rsidRDefault="00B67D49" w:rsidP="00F5054C">
      <w:pPr>
        <w:pStyle w:val="ListParagraph"/>
        <w:numPr>
          <w:ilvl w:val="0"/>
          <w:numId w:val="67"/>
        </w:numPr>
      </w:pPr>
      <w:r>
        <w:t>An</w:t>
      </w:r>
      <w:r w:rsidR="00180F04">
        <w:t>nual review of curricula, leading to</w:t>
      </w:r>
      <w:r>
        <w:t xml:space="preserve"> elimination of </w:t>
      </w:r>
      <w:r w:rsidR="00180F04">
        <w:t xml:space="preserve">900 </w:t>
      </w:r>
      <w:r>
        <w:t>under-enrolled or outdated courses;</w:t>
      </w:r>
    </w:p>
    <w:p w:rsidR="00FB1DD2" w:rsidRDefault="00FB1DD2" w:rsidP="00F5054C">
      <w:pPr>
        <w:pStyle w:val="ListParagraph"/>
        <w:numPr>
          <w:ilvl w:val="0"/>
          <w:numId w:val="67"/>
        </w:numPr>
      </w:pPr>
      <w:r>
        <w:t>Elimination of degree programs and creation of new ones, including</w:t>
      </w:r>
      <w:r w:rsidR="009D0CBC">
        <w:t xml:space="preserve"> a</w:t>
      </w:r>
      <w:r>
        <w:t xml:space="preserve"> </w:t>
      </w:r>
      <w:r w:rsidR="00714A4F">
        <w:t>low-res</w:t>
      </w:r>
      <w:r w:rsidR="009D0CBC">
        <w:t xml:space="preserve">idency MFA in creative writing; </w:t>
      </w:r>
      <w:r w:rsidR="00714A4F">
        <w:t>bachelor degrees in forensic science, integrative studies, and criminal justice</w:t>
      </w:r>
      <w:r w:rsidR="009D0CBC">
        <w:t>;</w:t>
      </w:r>
      <w:r w:rsidR="00714A4F">
        <w:t xml:space="preserve"> and </w:t>
      </w:r>
      <w:r>
        <w:t xml:space="preserve">new graduate </w:t>
      </w:r>
      <w:r w:rsidRPr="00A87F35">
        <w:t>certificate programs</w:t>
      </w:r>
      <w:r w:rsidR="00B67D49">
        <w:t>;</w:t>
      </w:r>
    </w:p>
    <w:p w:rsidR="00FB1DD2" w:rsidRDefault="00FB1DD2" w:rsidP="00F5054C">
      <w:pPr>
        <w:pStyle w:val="ListParagraph"/>
        <w:numPr>
          <w:ilvl w:val="0"/>
          <w:numId w:val="67"/>
        </w:numPr>
      </w:pPr>
      <w:r>
        <w:t>Strategic development of online courses</w:t>
      </w:r>
      <w:r w:rsidR="00B67D49">
        <w:t>;</w:t>
      </w:r>
    </w:p>
    <w:p w:rsidR="00FB1DD2" w:rsidRDefault="004E415B" w:rsidP="00F5054C">
      <w:pPr>
        <w:pStyle w:val="ListParagraph"/>
        <w:numPr>
          <w:ilvl w:val="0"/>
          <w:numId w:val="67"/>
        </w:numPr>
      </w:pPr>
      <w:r>
        <w:t xml:space="preserve">Strategic use of </w:t>
      </w:r>
      <w:r w:rsidR="00FB1DD2">
        <w:t>merit and</w:t>
      </w:r>
      <w:r>
        <w:t xml:space="preserve"> need-based</w:t>
      </w:r>
      <w:r w:rsidR="00FB1DD2">
        <w:t xml:space="preserve"> financial aid</w:t>
      </w:r>
      <w:r w:rsidR="00B67D49">
        <w:t>;</w:t>
      </w:r>
    </w:p>
    <w:p w:rsidR="00FB1DD2" w:rsidRDefault="009A21BB" w:rsidP="00F5054C">
      <w:pPr>
        <w:pStyle w:val="ListParagraph"/>
        <w:numPr>
          <w:ilvl w:val="0"/>
          <w:numId w:val="67"/>
        </w:numPr>
      </w:pPr>
      <w:r>
        <w:t>Reorganization and merging</w:t>
      </w:r>
      <w:r w:rsidR="00FB1DD2">
        <w:t xml:space="preserve"> of regional campuses</w:t>
      </w:r>
      <w:r w:rsidR="00EA066E">
        <w:t xml:space="preserve"> and other academic units</w:t>
      </w:r>
      <w:r w:rsidR="00B67D49">
        <w:t>;</w:t>
      </w:r>
    </w:p>
    <w:p w:rsidR="00FB1DD2" w:rsidRDefault="00FB1DD2" w:rsidP="00F5054C">
      <w:pPr>
        <w:pStyle w:val="ListParagraph"/>
        <w:numPr>
          <w:ilvl w:val="0"/>
          <w:numId w:val="67"/>
        </w:numPr>
      </w:pPr>
      <w:r>
        <w:t xml:space="preserve">Elimination of </w:t>
      </w:r>
      <w:r w:rsidR="00B1588D">
        <w:t xml:space="preserve">216 </w:t>
      </w:r>
      <w:r>
        <w:t>administrative and staff positions</w:t>
      </w:r>
      <w:r w:rsidR="0099141E">
        <w:t xml:space="preserve"> in </w:t>
      </w:r>
      <w:r w:rsidR="00F7423B">
        <w:t>2009-</w:t>
      </w:r>
      <w:r w:rsidR="0099141E">
        <w:t>2010</w:t>
      </w:r>
      <w:r w:rsidR="00B1588D">
        <w:t xml:space="preserve"> (</w:t>
      </w:r>
      <w:r w:rsidR="00EA066E">
        <w:t>143 positio</w:t>
      </w:r>
      <w:r w:rsidR="00377BB7">
        <w:t xml:space="preserve">ns were eliminated due to </w:t>
      </w:r>
      <w:r w:rsidR="00EA066E">
        <w:t xml:space="preserve">a </w:t>
      </w:r>
      <w:r w:rsidR="00377BB7">
        <w:t xml:space="preserve">hiring freeze and </w:t>
      </w:r>
      <w:r w:rsidR="009127A9">
        <w:t xml:space="preserve">a </w:t>
      </w:r>
      <w:r w:rsidR="00377BB7">
        <w:t xml:space="preserve">retirement incentive option; </w:t>
      </w:r>
      <w:r w:rsidR="00B1588D">
        <w:t>64 were actual people who received notification</w:t>
      </w:r>
      <w:r w:rsidR="009127A9">
        <w:t xml:space="preserve"> of their positions being eliminated</w:t>
      </w:r>
      <w:r w:rsidR="00B1588D">
        <w:t>)</w:t>
      </w:r>
      <w:r w:rsidR="00B67D49">
        <w:t>;</w:t>
      </w:r>
    </w:p>
    <w:p w:rsidR="00FB1DD2" w:rsidRDefault="00FB1DD2" w:rsidP="00F5054C">
      <w:pPr>
        <w:pStyle w:val="ListParagraph"/>
        <w:numPr>
          <w:ilvl w:val="0"/>
          <w:numId w:val="67"/>
        </w:numPr>
      </w:pPr>
      <w:r>
        <w:t>Realignment of graduate assi</w:t>
      </w:r>
      <w:r w:rsidR="00D96AE4">
        <w:t>stantships</w:t>
      </w:r>
      <w:r w:rsidR="00B63DB1">
        <w:t>;</w:t>
      </w:r>
    </w:p>
    <w:p w:rsidR="00FB1DD2" w:rsidRDefault="009A21BB" w:rsidP="00F5054C">
      <w:pPr>
        <w:pStyle w:val="ListParagraph"/>
        <w:numPr>
          <w:ilvl w:val="0"/>
          <w:numId w:val="67"/>
        </w:numPr>
      </w:pPr>
      <w:r>
        <w:t xml:space="preserve">Requirement of </w:t>
      </w:r>
      <w:r w:rsidR="00D96AE4">
        <w:t xml:space="preserve">annual </w:t>
      </w:r>
      <w:r w:rsidR="009127A9">
        <w:t>cash flow, budget</w:t>
      </w:r>
      <w:r w:rsidR="00955B9A">
        <w:t>, faculty workload</w:t>
      </w:r>
      <w:r w:rsidR="009127A9">
        <w:t xml:space="preserve"> and hiring plans</w:t>
      </w:r>
      <w:r w:rsidR="00D96AE4">
        <w:t xml:space="preserve"> submitted by</w:t>
      </w:r>
      <w:r w:rsidR="00665344">
        <w:t xml:space="preserve"> each academic division to the p</w:t>
      </w:r>
      <w:r w:rsidR="00D96AE4">
        <w:t>rovost</w:t>
      </w:r>
      <w:r w:rsidR="000F142F">
        <w:t>;</w:t>
      </w:r>
    </w:p>
    <w:p w:rsidR="000F142F" w:rsidRDefault="000F142F" w:rsidP="00F5054C">
      <w:pPr>
        <w:pStyle w:val="ListParagraph"/>
        <w:numPr>
          <w:ilvl w:val="0"/>
          <w:numId w:val="67"/>
        </w:numPr>
      </w:pPr>
      <w:r>
        <w:t>Creation o</w:t>
      </w:r>
      <w:r w:rsidR="00665344">
        <w:t>f the new lecturer, clinical and professionally l</w:t>
      </w:r>
      <w:r>
        <w:t xml:space="preserve">icensed </w:t>
      </w:r>
      <w:r w:rsidR="00665344">
        <w:t xml:space="preserve">(LCPL) </w:t>
      </w:r>
      <w:r>
        <w:t>faculty position</w:t>
      </w:r>
      <w:r w:rsidR="009A21BB">
        <w:t>;</w:t>
      </w:r>
    </w:p>
    <w:p w:rsidR="00955B9A" w:rsidRDefault="00955B9A" w:rsidP="00F5054C">
      <w:pPr>
        <w:pStyle w:val="ListParagraph"/>
        <w:numPr>
          <w:ilvl w:val="0"/>
          <w:numId w:val="67"/>
        </w:numPr>
      </w:pPr>
      <w:r>
        <w:t>Revision of the retire-rehire program guidelines</w:t>
      </w:r>
      <w:r w:rsidR="009A21BB">
        <w:t>;</w:t>
      </w:r>
    </w:p>
    <w:p w:rsidR="00D12E28" w:rsidRPr="009D0CBC" w:rsidRDefault="00D12E28" w:rsidP="00F5054C">
      <w:pPr>
        <w:pStyle w:val="ListParagraph"/>
        <w:numPr>
          <w:ilvl w:val="0"/>
          <w:numId w:val="67"/>
        </w:numPr>
        <w:rPr>
          <w:rFonts w:eastAsia="Cambria"/>
        </w:rPr>
      </w:pPr>
      <w:r w:rsidRPr="009D0CBC">
        <w:rPr>
          <w:rFonts w:eastAsia="Cambria"/>
        </w:rPr>
        <w:t>Re</w:t>
      </w:r>
      <w:r w:rsidRPr="009D0CBC">
        <w:rPr>
          <w:rFonts w:eastAsia="Cambria"/>
          <w:spacing w:val="-1"/>
        </w:rPr>
        <w:t>d</w:t>
      </w:r>
      <w:r w:rsidRPr="009D0CBC">
        <w:rPr>
          <w:rFonts w:eastAsia="Cambria"/>
        </w:rPr>
        <w:t>u</w:t>
      </w:r>
      <w:r w:rsidRPr="009D0CBC">
        <w:rPr>
          <w:rFonts w:eastAsia="Cambria"/>
          <w:spacing w:val="-1"/>
        </w:rPr>
        <w:t>c</w:t>
      </w:r>
      <w:r w:rsidRPr="009D0CBC">
        <w:rPr>
          <w:rFonts w:eastAsia="Cambria"/>
        </w:rPr>
        <w:t>tions</w:t>
      </w:r>
      <w:r w:rsidRPr="009D0CBC">
        <w:rPr>
          <w:rFonts w:eastAsia="Cambria"/>
          <w:spacing w:val="-5"/>
        </w:rPr>
        <w:t xml:space="preserve"> </w:t>
      </w:r>
      <w:r w:rsidRPr="009D0CBC">
        <w:rPr>
          <w:rFonts w:eastAsia="Cambria"/>
          <w:spacing w:val="-1"/>
        </w:rPr>
        <w:t>i</w:t>
      </w:r>
      <w:r w:rsidRPr="009D0CBC">
        <w:rPr>
          <w:rFonts w:eastAsia="Cambria"/>
        </w:rPr>
        <w:t>n</w:t>
      </w:r>
      <w:r w:rsidRPr="009D0CBC">
        <w:rPr>
          <w:rFonts w:eastAsia="Cambria"/>
          <w:spacing w:val="-2"/>
        </w:rPr>
        <w:t xml:space="preserve"> </w:t>
      </w:r>
      <w:r w:rsidRPr="009D0CBC">
        <w:rPr>
          <w:rFonts w:eastAsia="Cambria"/>
        </w:rPr>
        <w:t>pers</w:t>
      </w:r>
      <w:r w:rsidRPr="009D0CBC">
        <w:rPr>
          <w:rFonts w:eastAsia="Cambria"/>
          <w:spacing w:val="-1"/>
        </w:rPr>
        <w:t>o</w:t>
      </w:r>
      <w:r w:rsidRPr="009D0CBC">
        <w:rPr>
          <w:rFonts w:eastAsia="Cambria"/>
        </w:rPr>
        <w:t>n</w:t>
      </w:r>
      <w:r w:rsidRPr="009D0CBC">
        <w:rPr>
          <w:rFonts w:eastAsia="Cambria"/>
          <w:spacing w:val="-1"/>
        </w:rPr>
        <w:t>n</w:t>
      </w:r>
      <w:r w:rsidRPr="009D0CBC">
        <w:rPr>
          <w:rFonts w:eastAsia="Cambria"/>
        </w:rPr>
        <w:t>el</w:t>
      </w:r>
      <w:r w:rsidRPr="009D0CBC">
        <w:rPr>
          <w:rFonts w:eastAsia="Cambria"/>
          <w:spacing w:val="-7"/>
        </w:rPr>
        <w:t xml:space="preserve"> </w:t>
      </w:r>
      <w:r w:rsidRPr="009D0CBC">
        <w:rPr>
          <w:rFonts w:eastAsia="Cambria"/>
        </w:rPr>
        <w:t xml:space="preserve">in the Provost’s Office, Academic Personnel, </w:t>
      </w:r>
      <w:r w:rsidR="00665344">
        <w:rPr>
          <w:rFonts w:eastAsia="Cambria"/>
        </w:rPr>
        <w:t xml:space="preserve">University </w:t>
      </w:r>
      <w:r w:rsidRPr="009D0CBC">
        <w:rPr>
          <w:rFonts w:eastAsia="Cambria"/>
        </w:rPr>
        <w:t>Secretary’s Office, University Honors Program, and the Registrar’s Office</w:t>
      </w:r>
      <w:r w:rsidR="009A21BB">
        <w:rPr>
          <w:rFonts w:eastAsia="Cambria"/>
        </w:rPr>
        <w:t xml:space="preserve"> which resulted in</w:t>
      </w:r>
      <w:r w:rsidRPr="009D0CBC">
        <w:rPr>
          <w:rFonts w:eastAsia="Cambria"/>
          <w:spacing w:val="-1"/>
        </w:rPr>
        <w:t xml:space="preserve"> </w:t>
      </w:r>
      <w:r w:rsidRPr="009D0CBC">
        <w:rPr>
          <w:rFonts w:eastAsia="Cambria"/>
        </w:rPr>
        <w:t>over half a million</w:t>
      </w:r>
      <w:r w:rsidR="009A21BB">
        <w:rPr>
          <w:rFonts w:eastAsia="Cambria"/>
        </w:rPr>
        <w:t xml:space="preserve"> dollars</w:t>
      </w:r>
      <w:r w:rsidRPr="009D0CBC">
        <w:rPr>
          <w:rFonts w:eastAsia="Cambria"/>
        </w:rPr>
        <w:t xml:space="preserve"> </w:t>
      </w:r>
      <w:r w:rsidRPr="009D0CBC">
        <w:rPr>
          <w:rFonts w:eastAsia="Cambria"/>
          <w:spacing w:val="-3"/>
        </w:rPr>
        <w:t>i</w:t>
      </w:r>
      <w:r w:rsidRPr="009D0CBC">
        <w:rPr>
          <w:rFonts w:eastAsia="Cambria"/>
        </w:rPr>
        <w:t>n r</w:t>
      </w:r>
      <w:r w:rsidRPr="009D0CBC">
        <w:rPr>
          <w:rFonts w:eastAsia="Cambria"/>
          <w:spacing w:val="-2"/>
        </w:rPr>
        <w:t>e</w:t>
      </w:r>
      <w:r w:rsidRPr="009D0CBC">
        <w:rPr>
          <w:rFonts w:eastAsia="Cambria"/>
        </w:rPr>
        <w:t>alloc</w:t>
      </w:r>
      <w:r w:rsidRPr="009D0CBC">
        <w:rPr>
          <w:rFonts w:eastAsia="Cambria"/>
          <w:spacing w:val="-1"/>
        </w:rPr>
        <w:t>a</w:t>
      </w:r>
      <w:r w:rsidRPr="009D0CBC">
        <w:rPr>
          <w:rFonts w:eastAsia="Cambria"/>
        </w:rPr>
        <w:t>ti</w:t>
      </w:r>
      <w:r w:rsidRPr="009D0CBC">
        <w:rPr>
          <w:rFonts w:eastAsia="Cambria"/>
          <w:spacing w:val="-2"/>
        </w:rPr>
        <w:t>o</w:t>
      </w:r>
      <w:r w:rsidRPr="009D0CBC">
        <w:rPr>
          <w:rFonts w:eastAsia="Cambria"/>
        </w:rPr>
        <w:t>n</w:t>
      </w:r>
      <w:r w:rsidR="009A21BB">
        <w:rPr>
          <w:rFonts w:eastAsia="Cambria"/>
        </w:rPr>
        <w:t xml:space="preserve"> of</w:t>
      </w:r>
      <w:r w:rsidRPr="009D0CBC">
        <w:rPr>
          <w:rFonts w:eastAsia="Cambria"/>
          <w:spacing w:val="-7"/>
        </w:rPr>
        <w:t xml:space="preserve"> </w:t>
      </w:r>
      <w:r w:rsidRPr="009D0CBC">
        <w:rPr>
          <w:rFonts w:eastAsia="Cambria"/>
        </w:rPr>
        <w:t>fun</w:t>
      </w:r>
      <w:r w:rsidRPr="009D0CBC">
        <w:rPr>
          <w:rFonts w:eastAsia="Cambria"/>
          <w:spacing w:val="-1"/>
        </w:rPr>
        <w:t>d</w:t>
      </w:r>
      <w:r w:rsidR="009A21BB">
        <w:rPr>
          <w:rFonts w:eastAsia="Cambria"/>
        </w:rPr>
        <w:t>s;</w:t>
      </w:r>
    </w:p>
    <w:p w:rsidR="00D12E28" w:rsidRPr="009D0CBC" w:rsidRDefault="00D12E28" w:rsidP="00F5054C">
      <w:pPr>
        <w:pStyle w:val="ListParagraph"/>
        <w:numPr>
          <w:ilvl w:val="0"/>
          <w:numId w:val="67"/>
        </w:numPr>
        <w:rPr>
          <w:rFonts w:eastAsia="Cambria"/>
        </w:rPr>
      </w:pPr>
      <w:r w:rsidRPr="009D0CBC">
        <w:rPr>
          <w:rFonts w:eastAsia="Cambria"/>
          <w:position w:val="-1"/>
        </w:rPr>
        <w:t xml:space="preserve">Two </w:t>
      </w:r>
      <w:r w:rsidRPr="009D0CBC">
        <w:rPr>
          <w:rFonts w:eastAsia="Cambria"/>
          <w:spacing w:val="-1"/>
          <w:position w:val="-1"/>
        </w:rPr>
        <w:t>d</w:t>
      </w:r>
      <w:r w:rsidRPr="009D0CBC">
        <w:rPr>
          <w:rFonts w:eastAsia="Cambria"/>
          <w:spacing w:val="-2"/>
          <w:position w:val="-1"/>
        </w:rPr>
        <w:t>e</w:t>
      </w:r>
      <w:r w:rsidRPr="009D0CBC">
        <w:rPr>
          <w:rFonts w:eastAsia="Cambria"/>
          <w:position w:val="-1"/>
        </w:rPr>
        <w:t>pa</w:t>
      </w:r>
      <w:r w:rsidRPr="009D0CBC">
        <w:rPr>
          <w:rFonts w:eastAsia="Cambria"/>
          <w:spacing w:val="-2"/>
          <w:position w:val="-1"/>
        </w:rPr>
        <w:t>r</w:t>
      </w:r>
      <w:r w:rsidRPr="009D0CBC">
        <w:rPr>
          <w:rFonts w:eastAsia="Cambria"/>
          <w:position w:val="-1"/>
        </w:rPr>
        <w:t>tm</w:t>
      </w:r>
      <w:r w:rsidRPr="009D0CBC">
        <w:rPr>
          <w:rFonts w:eastAsia="Cambria"/>
          <w:spacing w:val="-1"/>
          <w:position w:val="-1"/>
        </w:rPr>
        <w:t>e</w:t>
      </w:r>
      <w:r w:rsidRPr="009D0CBC">
        <w:rPr>
          <w:rFonts w:eastAsia="Cambria"/>
          <w:spacing w:val="3"/>
          <w:position w:val="-1"/>
        </w:rPr>
        <w:t>n</w:t>
      </w:r>
      <w:r w:rsidRPr="009D0CBC">
        <w:rPr>
          <w:rFonts w:eastAsia="Cambria"/>
          <w:position w:val="-1"/>
        </w:rPr>
        <w:t>ts</w:t>
      </w:r>
      <w:r w:rsidRPr="009D0CBC">
        <w:rPr>
          <w:rFonts w:eastAsia="Cambria"/>
          <w:spacing w:val="-7"/>
          <w:position w:val="-1"/>
        </w:rPr>
        <w:t xml:space="preserve"> </w:t>
      </w:r>
      <w:r w:rsidRPr="009D0CBC">
        <w:rPr>
          <w:rFonts w:eastAsia="Cambria"/>
          <w:position w:val="-1"/>
        </w:rPr>
        <w:t>(Clas</w:t>
      </w:r>
      <w:r w:rsidR="009A21BB">
        <w:rPr>
          <w:rFonts w:eastAsia="Cambria"/>
          <w:position w:val="-1"/>
        </w:rPr>
        <w:t xml:space="preserve">sics, Comparative Religion) </w:t>
      </w:r>
      <w:r w:rsidRPr="009D0CBC">
        <w:rPr>
          <w:rFonts w:eastAsia="Cambria"/>
          <w:position w:val="-1"/>
        </w:rPr>
        <w:t>granted</w:t>
      </w:r>
      <w:r w:rsidRPr="009D0CBC">
        <w:rPr>
          <w:rFonts w:eastAsia="Cambria"/>
          <w:spacing w:val="-2"/>
          <w:position w:val="-1"/>
        </w:rPr>
        <w:t xml:space="preserve"> </w:t>
      </w:r>
      <w:r w:rsidRPr="009D0CBC">
        <w:rPr>
          <w:rFonts w:eastAsia="Cambria"/>
          <w:position w:val="-1"/>
        </w:rPr>
        <w:t>“pr</w:t>
      </w:r>
      <w:r w:rsidRPr="009D0CBC">
        <w:rPr>
          <w:rFonts w:eastAsia="Cambria"/>
          <w:spacing w:val="-1"/>
          <w:position w:val="-1"/>
        </w:rPr>
        <w:t>o</w:t>
      </w:r>
      <w:r w:rsidRPr="009D0CBC">
        <w:rPr>
          <w:rFonts w:eastAsia="Cambria"/>
          <w:position w:val="-1"/>
        </w:rPr>
        <w:t>gram” s</w:t>
      </w:r>
      <w:r w:rsidRPr="009D0CBC">
        <w:rPr>
          <w:rFonts w:eastAsia="Cambria"/>
          <w:spacing w:val="-2"/>
          <w:position w:val="-1"/>
        </w:rPr>
        <w:t>t</w:t>
      </w:r>
      <w:r w:rsidRPr="009D0CBC">
        <w:rPr>
          <w:rFonts w:eastAsia="Cambria"/>
          <w:position w:val="-1"/>
        </w:rPr>
        <w:t>a</w:t>
      </w:r>
      <w:r w:rsidRPr="009D0CBC">
        <w:rPr>
          <w:rFonts w:eastAsia="Cambria"/>
          <w:spacing w:val="-1"/>
          <w:position w:val="-1"/>
        </w:rPr>
        <w:t>t</w:t>
      </w:r>
      <w:r w:rsidRPr="009D0CBC">
        <w:rPr>
          <w:rFonts w:eastAsia="Cambria"/>
          <w:position w:val="-1"/>
        </w:rPr>
        <w:t xml:space="preserve">us to </w:t>
      </w:r>
      <w:r w:rsidRPr="009D0CBC">
        <w:rPr>
          <w:rFonts w:eastAsia="Cambria"/>
          <w:spacing w:val="-2"/>
          <w:position w:val="-1"/>
        </w:rPr>
        <w:t>l</w:t>
      </w:r>
      <w:r w:rsidRPr="009D0CBC">
        <w:rPr>
          <w:rFonts w:eastAsia="Cambria"/>
          <w:position w:val="-1"/>
        </w:rPr>
        <w:t>es</w:t>
      </w:r>
      <w:r w:rsidRPr="009D0CBC">
        <w:rPr>
          <w:rFonts w:eastAsia="Cambria"/>
          <w:spacing w:val="-1"/>
          <w:position w:val="-1"/>
        </w:rPr>
        <w:t>s</w:t>
      </w:r>
      <w:r w:rsidRPr="009D0CBC">
        <w:rPr>
          <w:rFonts w:eastAsia="Cambria"/>
          <w:position w:val="-1"/>
        </w:rPr>
        <w:t xml:space="preserve">en </w:t>
      </w:r>
      <w:r w:rsidRPr="009D0CBC">
        <w:rPr>
          <w:rFonts w:eastAsia="Cambria"/>
          <w:spacing w:val="-1"/>
          <w:position w:val="-1"/>
        </w:rPr>
        <w:t>ad</w:t>
      </w:r>
      <w:r w:rsidRPr="009D0CBC">
        <w:rPr>
          <w:rFonts w:eastAsia="Cambria"/>
          <w:position w:val="-1"/>
        </w:rPr>
        <w:t>mini</w:t>
      </w:r>
      <w:r w:rsidRPr="009D0CBC">
        <w:rPr>
          <w:rFonts w:eastAsia="Cambria"/>
          <w:spacing w:val="-1"/>
          <w:position w:val="-1"/>
        </w:rPr>
        <w:t>s</w:t>
      </w:r>
      <w:r w:rsidRPr="009D0CBC">
        <w:rPr>
          <w:rFonts w:eastAsia="Cambria"/>
          <w:position w:val="-1"/>
        </w:rPr>
        <w:t>trati</w:t>
      </w:r>
      <w:r w:rsidRPr="009D0CBC">
        <w:rPr>
          <w:rFonts w:eastAsia="Cambria"/>
          <w:spacing w:val="-3"/>
          <w:position w:val="-1"/>
        </w:rPr>
        <w:t>v</w:t>
      </w:r>
      <w:r w:rsidRPr="009D0CBC">
        <w:rPr>
          <w:rFonts w:eastAsia="Cambria"/>
          <w:position w:val="-1"/>
        </w:rPr>
        <w:t>e</w:t>
      </w:r>
      <w:r w:rsidRPr="009D0CBC">
        <w:rPr>
          <w:rFonts w:eastAsia="Cambria"/>
        </w:rPr>
        <w:t xml:space="preserve"> </w:t>
      </w:r>
      <w:r w:rsidRPr="009D0CBC">
        <w:rPr>
          <w:rFonts w:eastAsia="Cambria"/>
          <w:spacing w:val="-1"/>
        </w:rPr>
        <w:t>c</w:t>
      </w:r>
      <w:r w:rsidR="00924706">
        <w:rPr>
          <w:rFonts w:eastAsia="Cambria"/>
        </w:rPr>
        <w:t>ost</w:t>
      </w:r>
      <w:r w:rsidR="009A21BB">
        <w:rPr>
          <w:rFonts w:eastAsia="Cambria"/>
        </w:rPr>
        <w:t>;</w:t>
      </w:r>
    </w:p>
    <w:p w:rsidR="00955B9A" w:rsidRDefault="003C43CF" w:rsidP="00F5054C">
      <w:pPr>
        <w:pStyle w:val="ListParagraph"/>
        <w:numPr>
          <w:ilvl w:val="0"/>
          <w:numId w:val="67"/>
        </w:numPr>
      </w:pPr>
      <w:r>
        <w:t>Development of university guidelines for faculty workload</w:t>
      </w:r>
      <w:r w:rsidR="009A21BB">
        <w:t xml:space="preserve">; </w:t>
      </w:r>
    </w:p>
    <w:p w:rsidR="00714A4F" w:rsidRDefault="00714A4F" w:rsidP="00F5054C">
      <w:pPr>
        <w:pStyle w:val="ListParagraph"/>
        <w:numPr>
          <w:ilvl w:val="0"/>
          <w:numId w:val="67"/>
        </w:numPr>
      </w:pPr>
      <w:r>
        <w:t>C</w:t>
      </w:r>
      <w:r w:rsidR="009A21BB">
        <w:t>reation of multiple c</w:t>
      </w:r>
      <w:r>
        <w:t>ombined bachelor</w:t>
      </w:r>
      <w:r w:rsidR="002C5EC5">
        <w:t>’s</w:t>
      </w:r>
      <w:r>
        <w:t>-master’s degree programs</w:t>
      </w:r>
      <w:r w:rsidR="009A21BB">
        <w:t>;</w:t>
      </w:r>
    </w:p>
    <w:p w:rsidR="00180F04" w:rsidRDefault="00090EF9" w:rsidP="00F5054C">
      <w:pPr>
        <w:pStyle w:val="ListParagraph"/>
        <w:numPr>
          <w:ilvl w:val="0"/>
          <w:numId w:val="67"/>
        </w:numPr>
      </w:pPr>
      <w:r>
        <w:t>Restructuring of the academic calendar and creation of a new w</w:t>
      </w:r>
      <w:r w:rsidR="00180F04">
        <w:t>inter term</w:t>
      </w:r>
      <w:r>
        <w:t>.</w:t>
      </w:r>
    </w:p>
    <w:p w:rsidR="00FB1DD2" w:rsidRDefault="003C43CF" w:rsidP="009127A9">
      <w:r>
        <w:t>While these changes have been critical in promoting Miami’s</w:t>
      </w:r>
      <w:r w:rsidR="0037553F">
        <w:t xml:space="preserve"> </w:t>
      </w:r>
      <w:r w:rsidR="002C5EC5">
        <w:t>long-term sustainability, it has</w:t>
      </w:r>
      <w:r w:rsidR="0037553F">
        <w:t xml:space="preserve"> been challenging and continues to be challenging finding ways of maintaining faculty and staff </w:t>
      </w:r>
      <w:r w:rsidR="00FB1DD2">
        <w:t xml:space="preserve">morale high during </w:t>
      </w:r>
      <w:r w:rsidR="0037553F">
        <w:t>this period</w:t>
      </w:r>
      <w:r w:rsidR="00FB1DD2">
        <w:t xml:space="preserve"> of difficult decisions</w:t>
      </w:r>
      <w:r w:rsidR="0037553F">
        <w:t>.</w:t>
      </w:r>
    </w:p>
    <w:p w:rsidR="00565677" w:rsidRDefault="00565677" w:rsidP="00FB1DD2">
      <w:pPr>
        <w:pStyle w:val="Heading2"/>
      </w:pPr>
      <w:r>
        <w:t>Sources</w:t>
      </w:r>
    </w:p>
    <w:p w:rsidR="00565677" w:rsidRPr="00FD1342" w:rsidRDefault="00565677" w:rsidP="000945E2">
      <w:pPr>
        <w:pStyle w:val="NoSpacing"/>
        <w:numPr>
          <w:ilvl w:val="0"/>
          <w:numId w:val="14"/>
        </w:numPr>
        <w:ind w:left="252" w:hanging="252"/>
        <w:rPr>
          <w:sz w:val="20"/>
          <w:szCs w:val="20"/>
        </w:rPr>
      </w:pPr>
      <w:r w:rsidRPr="00FD1342">
        <w:rPr>
          <w:sz w:val="20"/>
          <w:szCs w:val="20"/>
        </w:rPr>
        <w:t>Description of strategic planning processes (SPTF, Miami 2020</w:t>
      </w:r>
      <w:r w:rsidR="00453BEB">
        <w:rPr>
          <w:sz w:val="20"/>
          <w:szCs w:val="20"/>
        </w:rPr>
        <w:t xml:space="preserve"> reports</w:t>
      </w:r>
      <w:r w:rsidRPr="00FD1342">
        <w:rPr>
          <w:sz w:val="20"/>
          <w:szCs w:val="20"/>
        </w:rPr>
        <w:t>)</w:t>
      </w:r>
    </w:p>
    <w:p w:rsidR="00565677" w:rsidRPr="00FD1342" w:rsidRDefault="00565677" w:rsidP="000945E2">
      <w:pPr>
        <w:pStyle w:val="NoSpacing"/>
        <w:numPr>
          <w:ilvl w:val="0"/>
          <w:numId w:val="14"/>
        </w:numPr>
        <w:ind w:left="252" w:hanging="252"/>
        <w:rPr>
          <w:sz w:val="20"/>
          <w:szCs w:val="20"/>
        </w:rPr>
      </w:pPr>
      <w:r w:rsidRPr="00FD1342">
        <w:rPr>
          <w:sz w:val="20"/>
          <w:szCs w:val="20"/>
        </w:rPr>
        <w:t>Board of Trustees special reports/presentations</w:t>
      </w:r>
    </w:p>
    <w:p w:rsidR="00565677" w:rsidRPr="00FD1342" w:rsidRDefault="00565677" w:rsidP="000945E2">
      <w:pPr>
        <w:pStyle w:val="NoSpacing"/>
        <w:numPr>
          <w:ilvl w:val="0"/>
          <w:numId w:val="14"/>
        </w:numPr>
        <w:ind w:left="252" w:hanging="252"/>
        <w:rPr>
          <w:sz w:val="20"/>
          <w:szCs w:val="20"/>
        </w:rPr>
      </w:pPr>
      <w:r w:rsidRPr="00FD1342">
        <w:rPr>
          <w:sz w:val="20"/>
          <w:szCs w:val="20"/>
        </w:rPr>
        <w:t>Academic Program Review process</w:t>
      </w:r>
    </w:p>
    <w:p w:rsidR="00565677" w:rsidRPr="00FD1342" w:rsidRDefault="00565677" w:rsidP="000945E2">
      <w:pPr>
        <w:pStyle w:val="NoSpacing"/>
        <w:numPr>
          <w:ilvl w:val="0"/>
          <w:numId w:val="14"/>
        </w:numPr>
        <w:ind w:left="252" w:hanging="252"/>
        <w:rPr>
          <w:sz w:val="20"/>
          <w:szCs w:val="20"/>
        </w:rPr>
      </w:pPr>
      <w:r w:rsidRPr="00FD1342">
        <w:rPr>
          <w:sz w:val="20"/>
          <w:szCs w:val="20"/>
        </w:rPr>
        <w:t xml:space="preserve">Report on </w:t>
      </w:r>
      <w:r w:rsidR="001939DE">
        <w:rPr>
          <w:sz w:val="20"/>
          <w:szCs w:val="20"/>
        </w:rPr>
        <w:t xml:space="preserve">New </w:t>
      </w:r>
      <w:r w:rsidRPr="00FD1342">
        <w:rPr>
          <w:sz w:val="20"/>
          <w:szCs w:val="20"/>
        </w:rPr>
        <w:t>Regional Division</w:t>
      </w:r>
    </w:p>
    <w:p w:rsidR="00565677" w:rsidRPr="00FD1342" w:rsidRDefault="00565677" w:rsidP="000945E2">
      <w:pPr>
        <w:pStyle w:val="NoSpacing"/>
        <w:numPr>
          <w:ilvl w:val="0"/>
          <w:numId w:val="14"/>
        </w:numPr>
        <w:ind w:left="252" w:hanging="252"/>
        <w:rPr>
          <w:sz w:val="20"/>
          <w:szCs w:val="20"/>
        </w:rPr>
      </w:pPr>
      <w:r w:rsidRPr="00FD1342">
        <w:rPr>
          <w:sz w:val="20"/>
          <w:szCs w:val="20"/>
        </w:rPr>
        <w:t>Proposals for new names for academic divisions</w:t>
      </w:r>
    </w:p>
    <w:p w:rsidR="00565677" w:rsidRPr="00FD1342" w:rsidRDefault="00565677" w:rsidP="000945E2">
      <w:pPr>
        <w:pStyle w:val="NoSpacing"/>
        <w:numPr>
          <w:ilvl w:val="0"/>
          <w:numId w:val="14"/>
        </w:numPr>
        <w:ind w:left="252" w:hanging="252"/>
        <w:rPr>
          <w:sz w:val="20"/>
          <w:szCs w:val="20"/>
        </w:rPr>
      </w:pPr>
      <w:r w:rsidRPr="00FD1342">
        <w:rPr>
          <w:sz w:val="20"/>
          <w:szCs w:val="20"/>
        </w:rPr>
        <w:t>RCM budgeting</w:t>
      </w:r>
    </w:p>
    <w:p w:rsidR="00565677" w:rsidRPr="00FD1342" w:rsidRDefault="00565677" w:rsidP="000945E2">
      <w:pPr>
        <w:pStyle w:val="NoSpacing"/>
        <w:numPr>
          <w:ilvl w:val="0"/>
          <w:numId w:val="14"/>
        </w:numPr>
        <w:ind w:left="252" w:hanging="252"/>
        <w:rPr>
          <w:sz w:val="20"/>
          <w:szCs w:val="20"/>
        </w:rPr>
      </w:pPr>
      <w:r w:rsidRPr="00FD1342">
        <w:rPr>
          <w:sz w:val="20"/>
          <w:szCs w:val="20"/>
        </w:rPr>
        <w:t>Institutional Analytics</w:t>
      </w:r>
    </w:p>
    <w:p w:rsidR="00565677" w:rsidRPr="00FD1342" w:rsidRDefault="001939DE" w:rsidP="000945E2">
      <w:pPr>
        <w:pStyle w:val="NoSpacing"/>
        <w:numPr>
          <w:ilvl w:val="0"/>
          <w:numId w:val="14"/>
        </w:numPr>
        <w:ind w:left="252" w:hanging="252"/>
        <w:rPr>
          <w:sz w:val="20"/>
          <w:szCs w:val="20"/>
        </w:rPr>
      </w:pPr>
      <w:r>
        <w:rPr>
          <w:sz w:val="20"/>
          <w:szCs w:val="20"/>
        </w:rPr>
        <w:t xml:space="preserve">Description of University </w:t>
      </w:r>
      <w:r w:rsidR="00565677" w:rsidRPr="00FD1342">
        <w:rPr>
          <w:sz w:val="20"/>
          <w:szCs w:val="20"/>
        </w:rPr>
        <w:t>Assessment of student learning</w:t>
      </w:r>
    </w:p>
    <w:p w:rsidR="00565677" w:rsidRPr="00FD1342" w:rsidRDefault="00565677" w:rsidP="000945E2">
      <w:pPr>
        <w:pStyle w:val="NoSpacing"/>
        <w:numPr>
          <w:ilvl w:val="0"/>
          <w:numId w:val="14"/>
        </w:numPr>
        <w:ind w:left="252" w:hanging="252"/>
        <w:rPr>
          <w:sz w:val="20"/>
          <w:szCs w:val="20"/>
        </w:rPr>
      </w:pPr>
      <w:r w:rsidRPr="00FD1342">
        <w:rPr>
          <w:sz w:val="20"/>
          <w:szCs w:val="20"/>
        </w:rPr>
        <w:t>Curricular streamlining reports</w:t>
      </w:r>
    </w:p>
    <w:p w:rsidR="00565677" w:rsidRDefault="00565677" w:rsidP="000945E2">
      <w:pPr>
        <w:pStyle w:val="NoSpacing"/>
        <w:numPr>
          <w:ilvl w:val="0"/>
          <w:numId w:val="14"/>
        </w:numPr>
        <w:ind w:left="252" w:hanging="252"/>
        <w:rPr>
          <w:sz w:val="20"/>
          <w:szCs w:val="20"/>
        </w:rPr>
      </w:pPr>
      <w:r w:rsidRPr="00FD1342">
        <w:rPr>
          <w:sz w:val="20"/>
          <w:szCs w:val="20"/>
        </w:rPr>
        <w:t>Deletion of courses</w:t>
      </w:r>
      <w:r w:rsidR="001939DE">
        <w:rPr>
          <w:sz w:val="20"/>
          <w:szCs w:val="20"/>
        </w:rPr>
        <w:t xml:space="preserve"> – new procedures</w:t>
      </w:r>
    </w:p>
    <w:p w:rsidR="00565677" w:rsidRDefault="00565677" w:rsidP="000945E2">
      <w:pPr>
        <w:pStyle w:val="NoSpacing"/>
        <w:numPr>
          <w:ilvl w:val="0"/>
          <w:numId w:val="14"/>
        </w:numPr>
        <w:ind w:left="252" w:hanging="252"/>
        <w:rPr>
          <w:sz w:val="20"/>
          <w:szCs w:val="20"/>
        </w:rPr>
      </w:pPr>
      <w:r w:rsidRPr="00565677">
        <w:rPr>
          <w:sz w:val="20"/>
          <w:szCs w:val="20"/>
        </w:rPr>
        <w:t>New degree programs and certificates</w:t>
      </w:r>
      <w:r w:rsidR="001939DE">
        <w:rPr>
          <w:sz w:val="20"/>
          <w:szCs w:val="20"/>
        </w:rPr>
        <w:t xml:space="preserve"> (Senate reports)</w:t>
      </w:r>
    </w:p>
    <w:p w:rsidR="001939DE" w:rsidRDefault="001939DE" w:rsidP="000945E2">
      <w:pPr>
        <w:pStyle w:val="NoSpacing"/>
        <w:numPr>
          <w:ilvl w:val="0"/>
          <w:numId w:val="14"/>
        </w:numPr>
        <w:ind w:left="252" w:hanging="252"/>
        <w:rPr>
          <w:sz w:val="20"/>
          <w:szCs w:val="20"/>
        </w:rPr>
      </w:pPr>
      <w:r>
        <w:rPr>
          <w:sz w:val="20"/>
          <w:szCs w:val="20"/>
        </w:rPr>
        <w:t>Academic Partnerships Committee website</w:t>
      </w:r>
    </w:p>
    <w:p w:rsidR="001939DE" w:rsidRPr="00565677" w:rsidRDefault="001939DE" w:rsidP="000945E2">
      <w:pPr>
        <w:pStyle w:val="NoSpacing"/>
        <w:numPr>
          <w:ilvl w:val="0"/>
          <w:numId w:val="14"/>
        </w:numPr>
        <w:ind w:left="252" w:hanging="252"/>
        <w:rPr>
          <w:sz w:val="20"/>
          <w:szCs w:val="20"/>
        </w:rPr>
      </w:pPr>
      <w:r>
        <w:rPr>
          <w:sz w:val="20"/>
          <w:szCs w:val="20"/>
        </w:rPr>
        <w:t>ELAC and E-Learning Reports</w:t>
      </w:r>
    </w:p>
    <w:p w:rsidR="00565677" w:rsidRDefault="00565677" w:rsidP="00565677">
      <w:pPr>
        <w:pStyle w:val="NoSpacing"/>
        <w:rPr>
          <w:sz w:val="20"/>
          <w:szCs w:val="20"/>
        </w:rPr>
      </w:pPr>
    </w:p>
    <w:p w:rsidR="00565677" w:rsidRPr="00565677" w:rsidRDefault="00565677" w:rsidP="00565677">
      <w:pPr>
        <w:pStyle w:val="NoSpacing"/>
        <w:rPr>
          <w:sz w:val="20"/>
          <w:szCs w:val="20"/>
        </w:rPr>
      </w:pPr>
    </w:p>
    <w:p w:rsidR="00565677" w:rsidRPr="00565677" w:rsidRDefault="00565677" w:rsidP="00565677"/>
    <w:p w:rsidR="007A7A20" w:rsidRPr="001F21FD" w:rsidRDefault="007A7A20" w:rsidP="001F21FD"/>
    <w:sectPr w:rsidR="007A7A20" w:rsidRPr="001F21FD" w:rsidSect="003B3209">
      <w:headerReference w:type="default" r:id="rId7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AF4" w:rsidRDefault="00810AF4" w:rsidP="003B3209">
      <w:pPr>
        <w:spacing w:after="0" w:line="240" w:lineRule="auto"/>
      </w:pPr>
      <w:r>
        <w:separator/>
      </w:r>
    </w:p>
  </w:endnote>
  <w:endnote w:type="continuationSeparator" w:id="0">
    <w:p w:rsidR="00810AF4" w:rsidRDefault="00810AF4" w:rsidP="003B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man Old Style Bold">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Minion Pro">
    <w:panose1 w:val="02040503050201020203"/>
    <w:charset w:val="00"/>
    <w:family w:val="auto"/>
    <w:pitch w:val="variable"/>
    <w:sig w:usb0="60000287" w:usb1="00000001" w:usb2="00000000" w:usb3="00000000" w:csb0="0000019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AF4" w:rsidRDefault="00810AF4" w:rsidP="003B3209">
      <w:pPr>
        <w:spacing w:after="0" w:line="240" w:lineRule="auto"/>
      </w:pPr>
      <w:r>
        <w:separator/>
      </w:r>
    </w:p>
  </w:footnote>
  <w:footnote w:type="continuationSeparator" w:id="0">
    <w:p w:rsidR="00810AF4" w:rsidRDefault="00810AF4" w:rsidP="003B32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519593315"/>
      <w:docPartObj>
        <w:docPartGallery w:val="Page Numbers (Top of Page)"/>
        <w:docPartUnique/>
      </w:docPartObj>
    </w:sdtPr>
    <w:sdtEndPr>
      <w:rPr>
        <w:b/>
        <w:bCs/>
        <w:noProof/>
        <w:color w:val="auto"/>
        <w:spacing w:val="0"/>
      </w:rPr>
    </w:sdtEndPr>
    <w:sdtContent>
      <w:p w:rsidR="00AB02BB" w:rsidRDefault="00AB02BB">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B3FF3" w:rsidRPr="006B3FF3">
          <w:rPr>
            <w:b/>
            <w:bCs/>
            <w:noProof/>
          </w:rPr>
          <w:t>78</w:t>
        </w:r>
        <w:r>
          <w:rPr>
            <w:b/>
            <w:bCs/>
            <w:noProof/>
          </w:rPr>
          <w:fldChar w:fldCharType="end"/>
        </w:r>
      </w:p>
    </w:sdtContent>
  </w:sdt>
  <w:p w:rsidR="00AB02BB" w:rsidRDefault="00AB02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E4F"/>
    <w:multiLevelType w:val="hybridMultilevel"/>
    <w:tmpl w:val="3CC0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86B6E"/>
    <w:multiLevelType w:val="hybridMultilevel"/>
    <w:tmpl w:val="32E8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154B8"/>
    <w:multiLevelType w:val="hybridMultilevel"/>
    <w:tmpl w:val="C298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A1999"/>
    <w:multiLevelType w:val="hybridMultilevel"/>
    <w:tmpl w:val="8A84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75832"/>
    <w:multiLevelType w:val="hybridMultilevel"/>
    <w:tmpl w:val="3A8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1E3572"/>
    <w:multiLevelType w:val="hybridMultilevel"/>
    <w:tmpl w:val="3274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745292"/>
    <w:multiLevelType w:val="hybridMultilevel"/>
    <w:tmpl w:val="F1AA8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CB6879"/>
    <w:multiLevelType w:val="hybridMultilevel"/>
    <w:tmpl w:val="5ECC2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D56775"/>
    <w:multiLevelType w:val="hybridMultilevel"/>
    <w:tmpl w:val="889C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A812DB"/>
    <w:multiLevelType w:val="hybridMultilevel"/>
    <w:tmpl w:val="7F1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D451CB"/>
    <w:multiLevelType w:val="hybridMultilevel"/>
    <w:tmpl w:val="64B0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061CF7"/>
    <w:multiLevelType w:val="hybridMultilevel"/>
    <w:tmpl w:val="AA8A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2770DF"/>
    <w:multiLevelType w:val="hybridMultilevel"/>
    <w:tmpl w:val="B194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852EF2"/>
    <w:multiLevelType w:val="hybridMultilevel"/>
    <w:tmpl w:val="633C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8B03DB"/>
    <w:multiLevelType w:val="hybridMultilevel"/>
    <w:tmpl w:val="C4D6BD3E"/>
    <w:lvl w:ilvl="0" w:tplc="04090001">
      <w:start w:val="1"/>
      <w:numFmt w:val="bullet"/>
      <w:lvlText w:val=""/>
      <w:lvlJc w:val="left"/>
      <w:pPr>
        <w:ind w:left="720" w:hanging="360"/>
      </w:pPr>
      <w:rPr>
        <w:rFonts w:ascii="Symbol" w:hAnsi="Symbol" w:hint="default"/>
      </w:rPr>
    </w:lvl>
    <w:lvl w:ilvl="1" w:tplc="AB9AB64E">
      <w:numFmt w:val="bullet"/>
      <w:lvlText w:val="•"/>
      <w:lvlJc w:val="left"/>
      <w:pPr>
        <w:ind w:left="1440" w:hanging="360"/>
      </w:pPr>
      <w:rPr>
        <w:rFonts w:ascii="Cambria" w:eastAsiaTheme="majorEastAsia" w:hAnsi="Cambria"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E34866"/>
    <w:multiLevelType w:val="hybridMultilevel"/>
    <w:tmpl w:val="7102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956B42"/>
    <w:multiLevelType w:val="hybridMultilevel"/>
    <w:tmpl w:val="20EEB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E2034C"/>
    <w:multiLevelType w:val="hybridMultilevel"/>
    <w:tmpl w:val="4F5E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467A58"/>
    <w:multiLevelType w:val="hybridMultilevel"/>
    <w:tmpl w:val="3CB8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983472"/>
    <w:multiLevelType w:val="hybridMultilevel"/>
    <w:tmpl w:val="62A8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016D97"/>
    <w:multiLevelType w:val="hybridMultilevel"/>
    <w:tmpl w:val="17EA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9D5898"/>
    <w:multiLevelType w:val="hybridMultilevel"/>
    <w:tmpl w:val="F956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5D677A7"/>
    <w:multiLevelType w:val="multilevel"/>
    <w:tmpl w:val="38B4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63C35A8"/>
    <w:multiLevelType w:val="hybridMultilevel"/>
    <w:tmpl w:val="4D2C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403769"/>
    <w:multiLevelType w:val="hybridMultilevel"/>
    <w:tmpl w:val="EBC2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C9288A"/>
    <w:multiLevelType w:val="hybridMultilevel"/>
    <w:tmpl w:val="E2AC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827F76"/>
    <w:multiLevelType w:val="hybridMultilevel"/>
    <w:tmpl w:val="588E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41368F"/>
    <w:multiLevelType w:val="hybridMultilevel"/>
    <w:tmpl w:val="7D2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37F0817"/>
    <w:multiLevelType w:val="hybridMultilevel"/>
    <w:tmpl w:val="2F70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D22502"/>
    <w:multiLevelType w:val="hybridMultilevel"/>
    <w:tmpl w:val="EC10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DB42BF"/>
    <w:multiLevelType w:val="hybridMultilevel"/>
    <w:tmpl w:val="B3D8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CFD196A"/>
    <w:multiLevelType w:val="hybridMultilevel"/>
    <w:tmpl w:val="41DE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F174BE2"/>
    <w:multiLevelType w:val="hybridMultilevel"/>
    <w:tmpl w:val="B8D69E4A"/>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cs="Times New Roman" w:hint="default"/>
      </w:rPr>
    </w:lvl>
    <w:lvl w:ilvl="2" w:tplc="04090005">
      <w:start w:val="1"/>
      <w:numFmt w:val="bullet"/>
      <w:lvlText w:val=""/>
      <w:lvlJc w:val="left"/>
      <w:pPr>
        <w:ind w:left="2202" w:hanging="360"/>
      </w:pPr>
      <w:rPr>
        <w:rFonts w:ascii="Wingdings" w:hAnsi="Wingdings" w:hint="default"/>
      </w:rPr>
    </w:lvl>
    <w:lvl w:ilvl="3" w:tplc="04090001">
      <w:start w:val="1"/>
      <w:numFmt w:val="bullet"/>
      <w:lvlText w:val=""/>
      <w:lvlJc w:val="left"/>
      <w:pPr>
        <w:ind w:left="2922" w:hanging="360"/>
      </w:pPr>
      <w:rPr>
        <w:rFonts w:ascii="Symbol" w:hAnsi="Symbol" w:hint="default"/>
      </w:rPr>
    </w:lvl>
    <w:lvl w:ilvl="4" w:tplc="04090003">
      <w:start w:val="1"/>
      <w:numFmt w:val="bullet"/>
      <w:lvlText w:val="o"/>
      <w:lvlJc w:val="left"/>
      <w:pPr>
        <w:ind w:left="3642" w:hanging="360"/>
      </w:pPr>
      <w:rPr>
        <w:rFonts w:ascii="Courier New" w:hAnsi="Courier New" w:cs="Times New Roman" w:hint="default"/>
      </w:rPr>
    </w:lvl>
    <w:lvl w:ilvl="5" w:tplc="04090005">
      <w:start w:val="1"/>
      <w:numFmt w:val="bullet"/>
      <w:lvlText w:val=""/>
      <w:lvlJc w:val="left"/>
      <w:pPr>
        <w:ind w:left="4362" w:hanging="360"/>
      </w:pPr>
      <w:rPr>
        <w:rFonts w:ascii="Wingdings" w:hAnsi="Wingdings" w:hint="default"/>
      </w:rPr>
    </w:lvl>
    <w:lvl w:ilvl="6" w:tplc="04090001">
      <w:start w:val="1"/>
      <w:numFmt w:val="bullet"/>
      <w:lvlText w:val=""/>
      <w:lvlJc w:val="left"/>
      <w:pPr>
        <w:ind w:left="5082" w:hanging="360"/>
      </w:pPr>
      <w:rPr>
        <w:rFonts w:ascii="Symbol" w:hAnsi="Symbol" w:hint="default"/>
      </w:rPr>
    </w:lvl>
    <w:lvl w:ilvl="7" w:tplc="04090003">
      <w:start w:val="1"/>
      <w:numFmt w:val="bullet"/>
      <w:lvlText w:val="o"/>
      <w:lvlJc w:val="left"/>
      <w:pPr>
        <w:ind w:left="5802" w:hanging="360"/>
      </w:pPr>
      <w:rPr>
        <w:rFonts w:ascii="Courier New" w:hAnsi="Courier New" w:cs="Times New Roman" w:hint="default"/>
      </w:rPr>
    </w:lvl>
    <w:lvl w:ilvl="8" w:tplc="04090005">
      <w:start w:val="1"/>
      <w:numFmt w:val="bullet"/>
      <w:lvlText w:val=""/>
      <w:lvlJc w:val="left"/>
      <w:pPr>
        <w:ind w:left="6522" w:hanging="360"/>
      </w:pPr>
      <w:rPr>
        <w:rFonts w:ascii="Wingdings" w:hAnsi="Wingdings" w:hint="default"/>
      </w:rPr>
    </w:lvl>
  </w:abstractNum>
  <w:abstractNum w:abstractNumId="33">
    <w:nsid w:val="2F6D1921"/>
    <w:multiLevelType w:val="hybridMultilevel"/>
    <w:tmpl w:val="734E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FBB46F1"/>
    <w:multiLevelType w:val="hybridMultilevel"/>
    <w:tmpl w:val="16F648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304C1021"/>
    <w:multiLevelType w:val="hybridMultilevel"/>
    <w:tmpl w:val="E390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FE2EEE"/>
    <w:multiLevelType w:val="hybridMultilevel"/>
    <w:tmpl w:val="4796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066217"/>
    <w:multiLevelType w:val="hybridMultilevel"/>
    <w:tmpl w:val="9856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2F46532"/>
    <w:multiLevelType w:val="hybridMultilevel"/>
    <w:tmpl w:val="E8C43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4333AD2"/>
    <w:multiLevelType w:val="hybridMultilevel"/>
    <w:tmpl w:val="A71E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46A0D18"/>
    <w:multiLevelType w:val="hybridMultilevel"/>
    <w:tmpl w:val="E026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5315053"/>
    <w:multiLevelType w:val="hybridMultilevel"/>
    <w:tmpl w:val="96FA9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5582076"/>
    <w:multiLevelType w:val="hybridMultilevel"/>
    <w:tmpl w:val="2C78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67C6AF1"/>
    <w:multiLevelType w:val="hybridMultilevel"/>
    <w:tmpl w:val="C67CF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4">
    <w:nsid w:val="38E447FE"/>
    <w:multiLevelType w:val="hybridMultilevel"/>
    <w:tmpl w:val="3BBE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A382E7F"/>
    <w:multiLevelType w:val="hybridMultilevel"/>
    <w:tmpl w:val="9988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B6E3CA3"/>
    <w:multiLevelType w:val="hybridMultilevel"/>
    <w:tmpl w:val="00FE8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CB811A5"/>
    <w:multiLevelType w:val="hybridMultilevel"/>
    <w:tmpl w:val="3704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EF9115F"/>
    <w:multiLevelType w:val="hybridMultilevel"/>
    <w:tmpl w:val="47341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40B34FAA"/>
    <w:multiLevelType w:val="hybridMultilevel"/>
    <w:tmpl w:val="CC489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0">
    <w:nsid w:val="41353FBA"/>
    <w:multiLevelType w:val="hybridMultilevel"/>
    <w:tmpl w:val="FEC0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1AB7F75"/>
    <w:multiLevelType w:val="multilevel"/>
    <w:tmpl w:val="C73A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1EB113A"/>
    <w:multiLevelType w:val="multilevel"/>
    <w:tmpl w:val="C73A9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319694C"/>
    <w:multiLevelType w:val="hybridMultilevel"/>
    <w:tmpl w:val="9B24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4483C82"/>
    <w:multiLevelType w:val="hybridMultilevel"/>
    <w:tmpl w:val="29D08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45E7D40"/>
    <w:multiLevelType w:val="hybridMultilevel"/>
    <w:tmpl w:val="8B7C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4912ECF"/>
    <w:multiLevelType w:val="hybridMultilevel"/>
    <w:tmpl w:val="C596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526006E"/>
    <w:multiLevelType w:val="hybridMultilevel"/>
    <w:tmpl w:val="3470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58008E3"/>
    <w:multiLevelType w:val="hybridMultilevel"/>
    <w:tmpl w:val="15CC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5F048D7"/>
    <w:multiLevelType w:val="hybridMultilevel"/>
    <w:tmpl w:val="64F2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76A78B3"/>
    <w:multiLevelType w:val="hybridMultilevel"/>
    <w:tmpl w:val="89A4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93827FA"/>
    <w:multiLevelType w:val="hybridMultilevel"/>
    <w:tmpl w:val="D62631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A1D6C55"/>
    <w:multiLevelType w:val="hybridMultilevel"/>
    <w:tmpl w:val="EEA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D3C2CDE"/>
    <w:multiLevelType w:val="hybridMultilevel"/>
    <w:tmpl w:val="16BA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0DF455C"/>
    <w:multiLevelType w:val="hybridMultilevel"/>
    <w:tmpl w:val="5350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0E238CE"/>
    <w:multiLevelType w:val="hybridMultilevel"/>
    <w:tmpl w:val="21B22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4CB4580"/>
    <w:multiLevelType w:val="hybridMultilevel"/>
    <w:tmpl w:val="1A7EC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5E46395"/>
    <w:multiLevelType w:val="hybridMultilevel"/>
    <w:tmpl w:val="51F4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6F6745F"/>
    <w:multiLevelType w:val="hybridMultilevel"/>
    <w:tmpl w:val="4BA6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70E0B30"/>
    <w:multiLevelType w:val="hybridMultilevel"/>
    <w:tmpl w:val="5E76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7D72932"/>
    <w:multiLevelType w:val="hybridMultilevel"/>
    <w:tmpl w:val="1AF2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8AF6D48"/>
    <w:multiLevelType w:val="hybridMultilevel"/>
    <w:tmpl w:val="41C6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B13432F"/>
    <w:multiLevelType w:val="hybridMultilevel"/>
    <w:tmpl w:val="4D06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B3A0915"/>
    <w:multiLevelType w:val="hybridMultilevel"/>
    <w:tmpl w:val="4900DA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C114878"/>
    <w:multiLevelType w:val="hybridMultilevel"/>
    <w:tmpl w:val="D8F8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01E17B8"/>
    <w:multiLevelType w:val="hybridMultilevel"/>
    <w:tmpl w:val="38FA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11F31D2"/>
    <w:multiLevelType w:val="hybridMultilevel"/>
    <w:tmpl w:val="42AAD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19567AB"/>
    <w:multiLevelType w:val="hybridMultilevel"/>
    <w:tmpl w:val="DF3E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1B64F1C"/>
    <w:multiLevelType w:val="hybridMultilevel"/>
    <w:tmpl w:val="353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27143A0"/>
    <w:multiLevelType w:val="hybridMultilevel"/>
    <w:tmpl w:val="177EA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36B53A0"/>
    <w:multiLevelType w:val="hybridMultilevel"/>
    <w:tmpl w:val="B088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3CF3BDE"/>
    <w:multiLevelType w:val="hybridMultilevel"/>
    <w:tmpl w:val="F03C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43F113D"/>
    <w:multiLevelType w:val="multilevel"/>
    <w:tmpl w:val="C73A9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87B7D7F"/>
    <w:multiLevelType w:val="hybridMultilevel"/>
    <w:tmpl w:val="69CC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9A9546D"/>
    <w:multiLevelType w:val="hybridMultilevel"/>
    <w:tmpl w:val="3C10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9E42B00"/>
    <w:multiLevelType w:val="hybridMultilevel"/>
    <w:tmpl w:val="B606A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A981BC6"/>
    <w:multiLevelType w:val="hybridMultilevel"/>
    <w:tmpl w:val="5B4E1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CEE3DD8"/>
    <w:multiLevelType w:val="hybridMultilevel"/>
    <w:tmpl w:val="9234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EE3413D"/>
    <w:multiLevelType w:val="hybridMultilevel"/>
    <w:tmpl w:val="062ACF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F5B47A1"/>
    <w:multiLevelType w:val="multilevel"/>
    <w:tmpl w:val="C73A9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2C24D28"/>
    <w:multiLevelType w:val="hybridMultilevel"/>
    <w:tmpl w:val="591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412167C"/>
    <w:multiLevelType w:val="hybridMultilevel"/>
    <w:tmpl w:val="83E6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4176805"/>
    <w:multiLevelType w:val="hybridMultilevel"/>
    <w:tmpl w:val="C538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621268B"/>
    <w:multiLevelType w:val="multilevel"/>
    <w:tmpl w:val="C73A9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74A2AAA"/>
    <w:multiLevelType w:val="hybridMultilevel"/>
    <w:tmpl w:val="E5F69F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8AC4016"/>
    <w:multiLevelType w:val="hybridMultilevel"/>
    <w:tmpl w:val="BB1A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9D813FF"/>
    <w:multiLevelType w:val="hybridMultilevel"/>
    <w:tmpl w:val="9F3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A9F6730"/>
    <w:multiLevelType w:val="hybridMultilevel"/>
    <w:tmpl w:val="B0B8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E985707"/>
    <w:multiLevelType w:val="hybridMultilevel"/>
    <w:tmpl w:val="C2EC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EFA1A8B"/>
    <w:multiLevelType w:val="hybridMultilevel"/>
    <w:tmpl w:val="04324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F831A01"/>
    <w:multiLevelType w:val="hybridMultilevel"/>
    <w:tmpl w:val="7CFC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1"/>
  </w:num>
  <w:num w:numId="2">
    <w:abstractNumId w:val="96"/>
  </w:num>
  <w:num w:numId="3">
    <w:abstractNumId w:val="56"/>
  </w:num>
  <w:num w:numId="4">
    <w:abstractNumId w:val="61"/>
  </w:num>
  <w:num w:numId="5">
    <w:abstractNumId w:val="19"/>
  </w:num>
  <w:num w:numId="6">
    <w:abstractNumId w:val="7"/>
  </w:num>
  <w:num w:numId="7">
    <w:abstractNumId w:val="47"/>
  </w:num>
  <w:num w:numId="8">
    <w:abstractNumId w:val="26"/>
  </w:num>
  <w:num w:numId="9">
    <w:abstractNumId w:val="42"/>
  </w:num>
  <w:num w:numId="10">
    <w:abstractNumId w:val="13"/>
  </w:num>
  <w:num w:numId="11">
    <w:abstractNumId w:val="10"/>
  </w:num>
  <w:num w:numId="12">
    <w:abstractNumId w:val="92"/>
  </w:num>
  <w:num w:numId="13">
    <w:abstractNumId w:val="94"/>
  </w:num>
  <w:num w:numId="14">
    <w:abstractNumId w:val="63"/>
  </w:num>
  <w:num w:numId="15">
    <w:abstractNumId w:val="84"/>
  </w:num>
  <w:num w:numId="16">
    <w:abstractNumId w:val="0"/>
  </w:num>
  <w:num w:numId="17">
    <w:abstractNumId w:val="76"/>
  </w:num>
  <w:num w:numId="18">
    <w:abstractNumId w:val="37"/>
  </w:num>
  <w:num w:numId="19">
    <w:abstractNumId w:val="72"/>
  </w:num>
  <w:num w:numId="20">
    <w:abstractNumId w:val="41"/>
  </w:num>
  <w:num w:numId="21">
    <w:abstractNumId w:val="99"/>
  </w:num>
  <w:num w:numId="22">
    <w:abstractNumId w:val="65"/>
  </w:num>
  <w:num w:numId="23">
    <w:abstractNumId w:val="3"/>
  </w:num>
  <w:num w:numId="24">
    <w:abstractNumId w:val="69"/>
  </w:num>
  <w:num w:numId="25">
    <w:abstractNumId w:val="60"/>
  </w:num>
  <w:num w:numId="26">
    <w:abstractNumId w:val="18"/>
  </w:num>
  <w:num w:numId="27">
    <w:abstractNumId w:val="11"/>
  </w:num>
  <w:num w:numId="28">
    <w:abstractNumId w:val="62"/>
  </w:num>
  <w:num w:numId="29">
    <w:abstractNumId w:val="77"/>
  </w:num>
  <w:num w:numId="30">
    <w:abstractNumId w:val="4"/>
  </w:num>
  <w:num w:numId="31">
    <w:abstractNumId w:val="58"/>
  </w:num>
  <w:num w:numId="32">
    <w:abstractNumId w:val="78"/>
  </w:num>
  <w:num w:numId="33">
    <w:abstractNumId w:val="74"/>
  </w:num>
  <w:num w:numId="34">
    <w:abstractNumId w:val="59"/>
  </w:num>
  <w:num w:numId="35">
    <w:abstractNumId w:val="50"/>
  </w:num>
  <w:num w:numId="36">
    <w:abstractNumId w:val="27"/>
  </w:num>
  <w:num w:numId="37">
    <w:abstractNumId w:val="33"/>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83"/>
  </w:num>
  <w:num w:numId="41">
    <w:abstractNumId w:val="2"/>
  </w:num>
  <w:num w:numId="42">
    <w:abstractNumId w:val="35"/>
  </w:num>
  <w:num w:numId="43">
    <w:abstractNumId w:val="64"/>
  </w:num>
  <w:num w:numId="44">
    <w:abstractNumId w:val="100"/>
  </w:num>
  <w:num w:numId="45">
    <w:abstractNumId w:val="16"/>
  </w:num>
  <w:num w:numId="46">
    <w:abstractNumId w:val="21"/>
  </w:num>
  <w:num w:numId="47">
    <w:abstractNumId w:val="9"/>
  </w:num>
  <w:num w:numId="48">
    <w:abstractNumId w:val="54"/>
  </w:num>
  <w:num w:numId="49">
    <w:abstractNumId w:val="29"/>
  </w:num>
  <w:num w:numId="50">
    <w:abstractNumId w:val="22"/>
  </w:num>
  <w:num w:numId="51">
    <w:abstractNumId w:val="79"/>
  </w:num>
  <w:num w:numId="52">
    <w:abstractNumId w:val="43"/>
  </w:num>
  <w:num w:numId="53">
    <w:abstractNumId w:val="32"/>
  </w:num>
  <w:num w:numId="54">
    <w:abstractNumId w:val="49"/>
  </w:num>
  <w:num w:numId="55">
    <w:abstractNumId w:val="47"/>
  </w:num>
  <w:num w:numId="56">
    <w:abstractNumId w:val="48"/>
  </w:num>
  <w:num w:numId="57">
    <w:abstractNumId w:val="14"/>
  </w:num>
  <w:num w:numId="58">
    <w:abstractNumId w:val="17"/>
  </w:num>
  <w:num w:numId="59">
    <w:abstractNumId w:val="70"/>
  </w:num>
  <w:num w:numId="60">
    <w:abstractNumId w:val="66"/>
  </w:num>
  <w:num w:numId="61">
    <w:abstractNumId w:val="51"/>
  </w:num>
  <w:num w:numId="62">
    <w:abstractNumId w:val="52"/>
  </w:num>
  <w:num w:numId="63">
    <w:abstractNumId w:val="93"/>
  </w:num>
  <w:num w:numId="64">
    <w:abstractNumId w:val="39"/>
  </w:num>
  <w:num w:numId="65">
    <w:abstractNumId w:val="87"/>
  </w:num>
  <w:num w:numId="66">
    <w:abstractNumId w:val="89"/>
  </w:num>
  <w:num w:numId="67">
    <w:abstractNumId w:val="82"/>
  </w:num>
  <w:num w:numId="68">
    <w:abstractNumId w:val="45"/>
  </w:num>
  <w:num w:numId="69">
    <w:abstractNumId w:val="31"/>
  </w:num>
  <w:num w:numId="70">
    <w:abstractNumId w:val="85"/>
  </w:num>
  <w:num w:numId="71">
    <w:abstractNumId w:val="80"/>
  </w:num>
  <w:num w:numId="72">
    <w:abstractNumId w:val="30"/>
  </w:num>
  <w:num w:numId="73">
    <w:abstractNumId w:val="75"/>
  </w:num>
  <w:num w:numId="74">
    <w:abstractNumId w:val="68"/>
  </w:num>
  <w:num w:numId="75">
    <w:abstractNumId w:val="25"/>
  </w:num>
  <w:num w:numId="76">
    <w:abstractNumId w:val="90"/>
  </w:num>
  <w:num w:numId="77">
    <w:abstractNumId w:val="57"/>
  </w:num>
  <w:num w:numId="78">
    <w:abstractNumId w:val="36"/>
  </w:num>
  <w:num w:numId="79">
    <w:abstractNumId w:val="28"/>
  </w:num>
  <w:num w:numId="80">
    <w:abstractNumId w:val="24"/>
  </w:num>
  <w:num w:numId="81">
    <w:abstractNumId w:val="97"/>
  </w:num>
  <w:num w:numId="82">
    <w:abstractNumId w:val="5"/>
  </w:num>
  <w:num w:numId="83">
    <w:abstractNumId w:val="81"/>
  </w:num>
  <w:num w:numId="84">
    <w:abstractNumId w:val="95"/>
  </w:num>
  <w:num w:numId="85">
    <w:abstractNumId w:val="1"/>
  </w:num>
  <w:num w:numId="86">
    <w:abstractNumId w:val="88"/>
  </w:num>
  <w:num w:numId="87">
    <w:abstractNumId w:val="6"/>
  </w:num>
  <w:num w:numId="88">
    <w:abstractNumId w:val="86"/>
  </w:num>
  <w:num w:numId="89">
    <w:abstractNumId w:val="73"/>
  </w:num>
  <w:num w:numId="90">
    <w:abstractNumId w:val="46"/>
  </w:num>
  <w:num w:numId="91">
    <w:abstractNumId w:val="67"/>
  </w:num>
  <w:num w:numId="92">
    <w:abstractNumId w:val="71"/>
  </w:num>
  <w:num w:numId="93">
    <w:abstractNumId w:val="8"/>
  </w:num>
  <w:num w:numId="94">
    <w:abstractNumId w:val="20"/>
  </w:num>
  <w:num w:numId="95">
    <w:abstractNumId w:val="55"/>
  </w:num>
  <w:num w:numId="96">
    <w:abstractNumId w:val="53"/>
  </w:num>
  <w:num w:numId="97">
    <w:abstractNumId w:val="98"/>
  </w:num>
  <w:num w:numId="98">
    <w:abstractNumId w:val="23"/>
  </w:num>
  <w:num w:numId="99">
    <w:abstractNumId w:val="12"/>
  </w:num>
  <w:num w:numId="100">
    <w:abstractNumId w:val="44"/>
  </w:num>
  <w:num w:numId="101">
    <w:abstractNumId w:val="40"/>
  </w:num>
  <w:num w:numId="102">
    <w:abstractNumId w:val="1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39"/>
    <w:rsid w:val="000019DC"/>
    <w:rsid w:val="000023B8"/>
    <w:rsid w:val="0000412F"/>
    <w:rsid w:val="00004264"/>
    <w:rsid w:val="000056DF"/>
    <w:rsid w:val="00007A53"/>
    <w:rsid w:val="00010BF3"/>
    <w:rsid w:val="00010D24"/>
    <w:rsid w:val="00011175"/>
    <w:rsid w:val="00012CDC"/>
    <w:rsid w:val="00012F38"/>
    <w:rsid w:val="000130DB"/>
    <w:rsid w:val="00013B54"/>
    <w:rsid w:val="000148C6"/>
    <w:rsid w:val="000150B9"/>
    <w:rsid w:val="00015101"/>
    <w:rsid w:val="00015393"/>
    <w:rsid w:val="00015725"/>
    <w:rsid w:val="000207D7"/>
    <w:rsid w:val="00021550"/>
    <w:rsid w:val="00021D13"/>
    <w:rsid w:val="00022511"/>
    <w:rsid w:val="00022AB0"/>
    <w:rsid w:val="00023E3A"/>
    <w:rsid w:val="00024D0F"/>
    <w:rsid w:val="000258D3"/>
    <w:rsid w:val="00025DED"/>
    <w:rsid w:val="00027763"/>
    <w:rsid w:val="00027969"/>
    <w:rsid w:val="00030488"/>
    <w:rsid w:val="0003085C"/>
    <w:rsid w:val="00032BFD"/>
    <w:rsid w:val="00033C46"/>
    <w:rsid w:val="00035A4C"/>
    <w:rsid w:val="00041705"/>
    <w:rsid w:val="00042413"/>
    <w:rsid w:val="0004413A"/>
    <w:rsid w:val="00045C4E"/>
    <w:rsid w:val="00045D04"/>
    <w:rsid w:val="00050395"/>
    <w:rsid w:val="000519A7"/>
    <w:rsid w:val="000521AE"/>
    <w:rsid w:val="00053C29"/>
    <w:rsid w:val="000541BD"/>
    <w:rsid w:val="0005533D"/>
    <w:rsid w:val="000558D3"/>
    <w:rsid w:val="00057395"/>
    <w:rsid w:val="00057519"/>
    <w:rsid w:val="00062123"/>
    <w:rsid w:val="00062DAA"/>
    <w:rsid w:val="0006327F"/>
    <w:rsid w:val="00064C2C"/>
    <w:rsid w:val="00067511"/>
    <w:rsid w:val="00070B04"/>
    <w:rsid w:val="00072109"/>
    <w:rsid w:val="0007212C"/>
    <w:rsid w:val="00073883"/>
    <w:rsid w:val="00076029"/>
    <w:rsid w:val="00076323"/>
    <w:rsid w:val="00076DCE"/>
    <w:rsid w:val="00077274"/>
    <w:rsid w:val="00081F0B"/>
    <w:rsid w:val="00082476"/>
    <w:rsid w:val="00082AB9"/>
    <w:rsid w:val="00085D4D"/>
    <w:rsid w:val="00085EFF"/>
    <w:rsid w:val="000903DA"/>
    <w:rsid w:val="00090EF9"/>
    <w:rsid w:val="00091F08"/>
    <w:rsid w:val="00094361"/>
    <w:rsid w:val="000945E2"/>
    <w:rsid w:val="00094ECD"/>
    <w:rsid w:val="00095260"/>
    <w:rsid w:val="00096413"/>
    <w:rsid w:val="00096519"/>
    <w:rsid w:val="00096723"/>
    <w:rsid w:val="00096A72"/>
    <w:rsid w:val="00097BA1"/>
    <w:rsid w:val="000A24EF"/>
    <w:rsid w:val="000A47E5"/>
    <w:rsid w:val="000A5340"/>
    <w:rsid w:val="000A61D8"/>
    <w:rsid w:val="000A641F"/>
    <w:rsid w:val="000A684C"/>
    <w:rsid w:val="000A7E26"/>
    <w:rsid w:val="000B0705"/>
    <w:rsid w:val="000B1016"/>
    <w:rsid w:val="000B13E2"/>
    <w:rsid w:val="000B3E17"/>
    <w:rsid w:val="000B490D"/>
    <w:rsid w:val="000B4F14"/>
    <w:rsid w:val="000B521A"/>
    <w:rsid w:val="000B54EF"/>
    <w:rsid w:val="000B6466"/>
    <w:rsid w:val="000B6E93"/>
    <w:rsid w:val="000B71AF"/>
    <w:rsid w:val="000B7F93"/>
    <w:rsid w:val="000B7FE4"/>
    <w:rsid w:val="000C1616"/>
    <w:rsid w:val="000C1CF9"/>
    <w:rsid w:val="000C2483"/>
    <w:rsid w:val="000C2650"/>
    <w:rsid w:val="000C529C"/>
    <w:rsid w:val="000C6285"/>
    <w:rsid w:val="000C71A0"/>
    <w:rsid w:val="000D16B3"/>
    <w:rsid w:val="000D3064"/>
    <w:rsid w:val="000D437C"/>
    <w:rsid w:val="000D4DD4"/>
    <w:rsid w:val="000D5718"/>
    <w:rsid w:val="000D60F8"/>
    <w:rsid w:val="000D6AAD"/>
    <w:rsid w:val="000E0886"/>
    <w:rsid w:val="000E1F6B"/>
    <w:rsid w:val="000E3724"/>
    <w:rsid w:val="000E54AF"/>
    <w:rsid w:val="000E5FDD"/>
    <w:rsid w:val="000E77CC"/>
    <w:rsid w:val="000E7F3B"/>
    <w:rsid w:val="000F03BD"/>
    <w:rsid w:val="000F04F1"/>
    <w:rsid w:val="000F126B"/>
    <w:rsid w:val="000F142F"/>
    <w:rsid w:val="000F53D3"/>
    <w:rsid w:val="000F57B0"/>
    <w:rsid w:val="000F5B14"/>
    <w:rsid w:val="000F66F1"/>
    <w:rsid w:val="000F6A8D"/>
    <w:rsid w:val="000F7A1D"/>
    <w:rsid w:val="000F7AB3"/>
    <w:rsid w:val="00100381"/>
    <w:rsid w:val="001010C9"/>
    <w:rsid w:val="001038DA"/>
    <w:rsid w:val="00104DF4"/>
    <w:rsid w:val="001055B0"/>
    <w:rsid w:val="001057B1"/>
    <w:rsid w:val="001057C3"/>
    <w:rsid w:val="001067B2"/>
    <w:rsid w:val="00107016"/>
    <w:rsid w:val="00107308"/>
    <w:rsid w:val="00107E1B"/>
    <w:rsid w:val="00107FEB"/>
    <w:rsid w:val="00112340"/>
    <w:rsid w:val="001139B5"/>
    <w:rsid w:val="00117E4A"/>
    <w:rsid w:val="001214F7"/>
    <w:rsid w:val="00123BB0"/>
    <w:rsid w:val="00123CEC"/>
    <w:rsid w:val="00124690"/>
    <w:rsid w:val="00125342"/>
    <w:rsid w:val="00127417"/>
    <w:rsid w:val="001319EE"/>
    <w:rsid w:val="00131E81"/>
    <w:rsid w:val="00132AA5"/>
    <w:rsid w:val="00134897"/>
    <w:rsid w:val="00135286"/>
    <w:rsid w:val="00135366"/>
    <w:rsid w:val="00135FF6"/>
    <w:rsid w:val="00136B83"/>
    <w:rsid w:val="00136E35"/>
    <w:rsid w:val="00137C90"/>
    <w:rsid w:val="00137C91"/>
    <w:rsid w:val="00141B80"/>
    <w:rsid w:val="00142FBA"/>
    <w:rsid w:val="0014389F"/>
    <w:rsid w:val="00144D86"/>
    <w:rsid w:val="00145C2D"/>
    <w:rsid w:val="00146729"/>
    <w:rsid w:val="001473E9"/>
    <w:rsid w:val="00147A6C"/>
    <w:rsid w:val="001503F5"/>
    <w:rsid w:val="00150603"/>
    <w:rsid w:val="00150F1F"/>
    <w:rsid w:val="00151CC0"/>
    <w:rsid w:val="0015373D"/>
    <w:rsid w:val="001537F7"/>
    <w:rsid w:val="00154371"/>
    <w:rsid w:val="00154BC8"/>
    <w:rsid w:val="00156B25"/>
    <w:rsid w:val="001603BC"/>
    <w:rsid w:val="00161F2F"/>
    <w:rsid w:val="00163F78"/>
    <w:rsid w:val="00170878"/>
    <w:rsid w:val="001724BC"/>
    <w:rsid w:val="00173428"/>
    <w:rsid w:val="0017544E"/>
    <w:rsid w:val="001763F6"/>
    <w:rsid w:val="00180F04"/>
    <w:rsid w:val="00181FCD"/>
    <w:rsid w:val="001826D0"/>
    <w:rsid w:val="00182A12"/>
    <w:rsid w:val="00182D33"/>
    <w:rsid w:val="00182FA8"/>
    <w:rsid w:val="00186827"/>
    <w:rsid w:val="00190675"/>
    <w:rsid w:val="0019312D"/>
    <w:rsid w:val="0019329B"/>
    <w:rsid w:val="0019357B"/>
    <w:rsid w:val="001939DE"/>
    <w:rsid w:val="00194296"/>
    <w:rsid w:val="00194813"/>
    <w:rsid w:val="001952A0"/>
    <w:rsid w:val="00195985"/>
    <w:rsid w:val="00196970"/>
    <w:rsid w:val="001974DB"/>
    <w:rsid w:val="001A00FE"/>
    <w:rsid w:val="001A0DF0"/>
    <w:rsid w:val="001A1CAF"/>
    <w:rsid w:val="001A2BDE"/>
    <w:rsid w:val="001A3581"/>
    <w:rsid w:val="001A3680"/>
    <w:rsid w:val="001A3D92"/>
    <w:rsid w:val="001A57D4"/>
    <w:rsid w:val="001B04D7"/>
    <w:rsid w:val="001B1551"/>
    <w:rsid w:val="001B1D09"/>
    <w:rsid w:val="001B26B5"/>
    <w:rsid w:val="001B42C9"/>
    <w:rsid w:val="001B4419"/>
    <w:rsid w:val="001B47B6"/>
    <w:rsid w:val="001B6398"/>
    <w:rsid w:val="001B7233"/>
    <w:rsid w:val="001B7A0E"/>
    <w:rsid w:val="001C1950"/>
    <w:rsid w:val="001C3CBC"/>
    <w:rsid w:val="001C4E76"/>
    <w:rsid w:val="001C67F6"/>
    <w:rsid w:val="001D385C"/>
    <w:rsid w:val="001D5F79"/>
    <w:rsid w:val="001D7311"/>
    <w:rsid w:val="001E0410"/>
    <w:rsid w:val="001E0E86"/>
    <w:rsid w:val="001E2CE6"/>
    <w:rsid w:val="001E34E1"/>
    <w:rsid w:val="001E37BD"/>
    <w:rsid w:val="001E57A2"/>
    <w:rsid w:val="001E65B1"/>
    <w:rsid w:val="001E72DA"/>
    <w:rsid w:val="001F0B8C"/>
    <w:rsid w:val="001F10EB"/>
    <w:rsid w:val="001F189E"/>
    <w:rsid w:val="001F21FD"/>
    <w:rsid w:val="001F37E3"/>
    <w:rsid w:val="001F4E6C"/>
    <w:rsid w:val="001F4F79"/>
    <w:rsid w:val="001F4FF6"/>
    <w:rsid w:val="001F7266"/>
    <w:rsid w:val="001F7605"/>
    <w:rsid w:val="00200985"/>
    <w:rsid w:val="00203779"/>
    <w:rsid w:val="00203E4E"/>
    <w:rsid w:val="002041BA"/>
    <w:rsid w:val="00204DDB"/>
    <w:rsid w:val="00205E40"/>
    <w:rsid w:val="002100F7"/>
    <w:rsid w:val="00214E79"/>
    <w:rsid w:val="00214F63"/>
    <w:rsid w:val="00217176"/>
    <w:rsid w:val="0021752D"/>
    <w:rsid w:val="0022051E"/>
    <w:rsid w:val="00221620"/>
    <w:rsid w:val="002219E2"/>
    <w:rsid w:val="0022245F"/>
    <w:rsid w:val="00222E6C"/>
    <w:rsid w:val="002239AE"/>
    <w:rsid w:val="00223DBB"/>
    <w:rsid w:val="00224723"/>
    <w:rsid w:val="00225EAD"/>
    <w:rsid w:val="002262CB"/>
    <w:rsid w:val="00227715"/>
    <w:rsid w:val="002279A6"/>
    <w:rsid w:val="00231545"/>
    <w:rsid w:val="0023291F"/>
    <w:rsid w:val="0023301B"/>
    <w:rsid w:val="0023312B"/>
    <w:rsid w:val="00233770"/>
    <w:rsid w:val="00233D25"/>
    <w:rsid w:val="00234039"/>
    <w:rsid w:val="00234941"/>
    <w:rsid w:val="0023521A"/>
    <w:rsid w:val="00235FE1"/>
    <w:rsid w:val="00237A35"/>
    <w:rsid w:val="00237B90"/>
    <w:rsid w:val="002417DA"/>
    <w:rsid w:val="002419FB"/>
    <w:rsid w:val="00241EA0"/>
    <w:rsid w:val="0024303B"/>
    <w:rsid w:val="002448C7"/>
    <w:rsid w:val="002453B3"/>
    <w:rsid w:val="00246690"/>
    <w:rsid w:val="002508D7"/>
    <w:rsid w:val="00250CC5"/>
    <w:rsid w:val="00251765"/>
    <w:rsid w:val="00251AEB"/>
    <w:rsid w:val="002520B0"/>
    <w:rsid w:val="00253EE7"/>
    <w:rsid w:val="00254663"/>
    <w:rsid w:val="0025473F"/>
    <w:rsid w:val="00254A18"/>
    <w:rsid w:val="00254AF1"/>
    <w:rsid w:val="00254DDD"/>
    <w:rsid w:val="00256AC5"/>
    <w:rsid w:val="00256E5E"/>
    <w:rsid w:val="00257171"/>
    <w:rsid w:val="00257C1D"/>
    <w:rsid w:val="00261692"/>
    <w:rsid w:val="00263016"/>
    <w:rsid w:val="00264AC7"/>
    <w:rsid w:val="002664B0"/>
    <w:rsid w:val="00266C3E"/>
    <w:rsid w:val="002679A6"/>
    <w:rsid w:val="00270F82"/>
    <w:rsid w:val="00272C34"/>
    <w:rsid w:val="00273E4D"/>
    <w:rsid w:val="0027411F"/>
    <w:rsid w:val="00275B5F"/>
    <w:rsid w:val="00276E92"/>
    <w:rsid w:val="00276F14"/>
    <w:rsid w:val="00277624"/>
    <w:rsid w:val="002808AA"/>
    <w:rsid w:val="00280CA4"/>
    <w:rsid w:val="00280F46"/>
    <w:rsid w:val="00281C8D"/>
    <w:rsid w:val="0028313E"/>
    <w:rsid w:val="0028371E"/>
    <w:rsid w:val="00284401"/>
    <w:rsid w:val="00284406"/>
    <w:rsid w:val="00286869"/>
    <w:rsid w:val="0029073B"/>
    <w:rsid w:val="00290970"/>
    <w:rsid w:val="00290A45"/>
    <w:rsid w:val="00291D30"/>
    <w:rsid w:val="00293515"/>
    <w:rsid w:val="00294304"/>
    <w:rsid w:val="0029691D"/>
    <w:rsid w:val="002A01BC"/>
    <w:rsid w:val="002A030C"/>
    <w:rsid w:val="002A1A24"/>
    <w:rsid w:val="002A1A9D"/>
    <w:rsid w:val="002A301C"/>
    <w:rsid w:val="002A3472"/>
    <w:rsid w:val="002A3FC4"/>
    <w:rsid w:val="002A497F"/>
    <w:rsid w:val="002A609A"/>
    <w:rsid w:val="002A6B37"/>
    <w:rsid w:val="002A76AB"/>
    <w:rsid w:val="002B0F00"/>
    <w:rsid w:val="002B106E"/>
    <w:rsid w:val="002B141C"/>
    <w:rsid w:val="002B1B1B"/>
    <w:rsid w:val="002B20AF"/>
    <w:rsid w:val="002B2586"/>
    <w:rsid w:val="002B2717"/>
    <w:rsid w:val="002B2C5F"/>
    <w:rsid w:val="002B374B"/>
    <w:rsid w:val="002B4C5A"/>
    <w:rsid w:val="002B6F3B"/>
    <w:rsid w:val="002B6FDC"/>
    <w:rsid w:val="002C1673"/>
    <w:rsid w:val="002C1C4B"/>
    <w:rsid w:val="002C5EC5"/>
    <w:rsid w:val="002C67C2"/>
    <w:rsid w:val="002C6BCC"/>
    <w:rsid w:val="002C6CBC"/>
    <w:rsid w:val="002C7112"/>
    <w:rsid w:val="002C7118"/>
    <w:rsid w:val="002C7C99"/>
    <w:rsid w:val="002C7CF3"/>
    <w:rsid w:val="002D00C5"/>
    <w:rsid w:val="002D00EE"/>
    <w:rsid w:val="002D2596"/>
    <w:rsid w:val="002D402D"/>
    <w:rsid w:val="002D52A1"/>
    <w:rsid w:val="002D57C1"/>
    <w:rsid w:val="002D7800"/>
    <w:rsid w:val="002E1F45"/>
    <w:rsid w:val="002E1F62"/>
    <w:rsid w:val="002E23ED"/>
    <w:rsid w:val="002E2B68"/>
    <w:rsid w:val="002E2FEB"/>
    <w:rsid w:val="002E4A8B"/>
    <w:rsid w:val="002F0B1B"/>
    <w:rsid w:val="002F2869"/>
    <w:rsid w:val="002F3932"/>
    <w:rsid w:val="002F609F"/>
    <w:rsid w:val="002F6C4F"/>
    <w:rsid w:val="002F76EE"/>
    <w:rsid w:val="002F7B5C"/>
    <w:rsid w:val="0030033D"/>
    <w:rsid w:val="0030160E"/>
    <w:rsid w:val="00303042"/>
    <w:rsid w:val="00304F27"/>
    <w:rsid w:val="0030665F"/>
    <w:rsid w:val="00306D40"/>
    <w:rsid w:val="00306EDA"/>
    <w:rsid w:val="003077E6"/>
    <w:rsid w:val="003112D8"/>
    <w:rsid w:val="003113D3"/>
    <w:rsid w:val="003114EA"/>
    <w:rsid w:val="00312032"/>
    <w:rsid w:val="00312C64"/>
    <w:rsid w:val="00312E9B"/>
    <w:rsid w:val="00314006"/>
    <w:rsid w:val="00314582"/>
    <w:rsid w:val="003151B2"/>
    <w:rsid w:val="003169F5"/>
    <w:rsid w:val="0031703C"/>
    <w:rsid w:val="00317A69"/>
    <w:rsid w:val="003209AF"/>
    <w:rsid w:val="00321005"/>
    <w:rsid w:val="0032324B"/>
    <w:rsid w:val="0032349F"/>
    <w:rsid w:val="0032614A"/>
    <w:rsid w:val="00326B9D"/>
    <w:rsid w:val="00327A82"/>
    <w:rsid w:val="00331178"/>
    <w:rsid w:val="003313A7"/>
    <w:rsid w:val="00331E09"/>
    <w:rsid w:val="003323F6"/>
    <w:rsid w:val="00332B4F"/>
    <w:rsid w:val="0033381E"/>
    <w:rsid w:val="00335BB3"/>
    <w:rsid w:val="003367C1"/>
    <w:rsid w:val="00336CF3"/>
    <w:rsid w:val="00337122"/>
    <w:rsid w:val="00340906"/>
    <w:rsid w:val="00341926"/>
    <w:rsid w:val="003427A0"/>
    <w:rsid w:val="00343D00"/>
    <w:rsid w:val="00344F00"/>
    <w:rsid w:val="003464A0"/>
    <w:rsid w:val="00350AB0"/>
    <w:rsid w:val="00350D39"/>
    <w:rsid w:val="00351D3D"/>
    <w:rsid w:val="00351DCB"/>
    <w:rsid w:val="00352668"/>
    <w:rsid w:val="00354012"/>
    <w:rsid w:val="003545FE"/>
    <w:rsid w:val="00354B9C"/>
    <w:rsid w:val="00356704"/>
    <w:rsid w:val="00356A14"/>
    <w:rsid w:val="00357850"/>
    <w:rsid w:val="00357C1E"/>
    <w:rsid w:val="0036004B"/>
    <w:rsid w:val="003606E5"/>
    <w:rsid w:val="003618D1"/>
    <w:rsid w:val="00363000"/>
    <w:rsid w:val="00365BAC"/>
    <w:rsid w:val="00365D23"/>
    <w:rsid w:val="00365EF0"/>
    <w:rsid w:val="0036633F"/>
    <w:rsid w:val="00366378"/>
    <w:rsid w:val="0036797B"/>
    <w:rsid w:val="0037553F"/>
    <w:rsid w:val="00377BB7"/>
    <w:rsid w:val="00380E28"/>
    <w:rsid w:val="0038120F"/>
    <w:rsid w:val="003819DD"/>
    <w:rsid w:val="003828EE"/>
    <w:rsid w:val="00383039"/>
    <w:rsid w:val="00383E89"/>
    <w:rsid w:val="0038627C"/>
    <w:rsid w:val="0038646D"/>
    <w:rsid w:val="003869C1"/>
    <w:rsid w:val="00387638"/>
    <w:rsid w:val="00392993"/>
    <w:rsid w:val="00392EDF"/>
    <w:rsid w:val="00393B31"/>
    <w:rsid w:val="00394B3F"/>
    <w:rsid w:val="00395C09"/>
    <w:rsid w:val="0039760B"/>
    <w:rsid w:val="003A1196"/>
    <w:rsid w:val="003A1265"/>
    <w:rsid w:val="003A18D2"/>
    <w:rsid w:val="003A33CE"/>
    <w:rsid w:val="003A3470"/>
    <w:rsid w:val="003A5959"/>
    <w:rsid w:val="003A5E1A"/>
    <w:rsid w:val="003A7424"/>
    <w:rsid w:val="003A7DCC"/>
    <w:rsid w:val="003B0015"/>
    <w:rsid w:val="003B056A"/>
    <w:rsid w:val="003B0C03"/>
    <w:rsid w:val="003B1C26"/>
    <w:rsid w:val="003B3209"/>
    <w:rsid w:val="003B5A11"/>
    <w:rsid w:val="003B69A5"/>
    <w:rsid w:val="003C01C0"/>
    <w:rsid w:val="003C0A33"/>
    <w:rsid w:val="003C0CF9"/>
    <w:rsid w:val="003C2881"/>
    <w:rsid w:val="003C43CF"/>
    <w:rsid w:val="003D1649"/>
    <w:rsid w:val="003D51C4"/>
    <w:rsid w:val="003D5E89"/>
    <w:rsid w:val="003D5EA8"/>
    <w:rsid w:val="003D772C"/>
    <w:rsid w:val="003E10B8"/>
    <w:rsid w:val="003E38DB"/>
    <w:rsid w:val="003E42F4"/>
    <w:rsid w:val="003E51C0"/>
    <w:rsid w:val="003E5500"/>
    <w:rsid w:val="003E6760"/>
    <w:rsid w:val="003E6B20"/>
    <w:rsid w:val="003F0221"/>
    <w:rsid w:val="003F1431"/>
    <w:rsid w:val="003F1692"/>
    <w:rsid w:val="003F2A3E"/>
    <w:rsid w:val="003F508F"/>
    <w:rsid w:val="003F61D8"/>
    <w:rsid w:val="003F6322"/>
    <w:rsid w:val="003F6854"/>
    <w:rsid w:val="004009A2"/>
    <w:rsid w:val="0040199E"/>
    <w:rsid w:val="00403FE6"/>
    <w:rsid w:val="00412901"/>
    <w:rsid w:val="00415B5E"/>
    <w:rsid w:val="004175B0"/>
    <w:rsid w:val="00417E4B"/>
    <w:rsid w:val="00422094"/>
    <w:rsid w:val="0042234C"/>
    <w:rsid w:val="004238F2"/>
    <w:rsid w:val="00425247"/>
    <w:rsid w:val="00426C54"/>
    <w:rsid w:val="00427A04"/>
    <w:rsid w:val="00427B74"/>
    <w:rsid w:val="004304BA"/>
    <w:rsid w:val="004307AE"/>
    <w:rsid w:val="00431DCD"/>
    <w:rsid w:val="0043297D"/>
    <w:rsid w:val="00432F1F"/>
    <w:rsid w:val="004345DA"/>
    <w:rsid w:val="00434B40"/>
    <w:rsid w:val="0044025D"/>
    <w:rsid w:val="00441283"/>
    <w:rsid w:val="00441F76"/>
    <w:rsid w:val="00442009"/>
    <w:rsid w:val="00442CBF"/>
    <w:rsid w:val="00445A11"/>
    <w:rsid w:val="00445A94"/>
    <w:rsid w:val="00445BA6"/>
    <w:rsid w:val="00445F90"/>
    <w:rsid w:val="004464CA"/>
    <w:rsid w:val="00447E23"/>
    <w:rsid w:val="00447ED1"/>
    <w:rsid w:val="004505A5"/>
    <w:rsid w:val="00452973"/>
    <w:rsid w:val="00452B00"/>
    <w:rsid w:val="004532A1"/>
    <w:rsid w:val="0045332E"/>
    <w:rsid w:val="00453BEB"/>
    <w:rsid w:val="0045466E"/>
    <w:rsid w:val="00454946"/>
    <w:rsid w:val="00454CB1"/>
    <w:rsid w:val="004554B2"/>
    <w:rsid w:val="004559D5"/>
    <w:rsid w:val="00455DE9"/>
    <w:rsid w:val="00455E52"/>
    <w:rsid w:val="004568E4"/>
    <w:rsid w:val="00456C55"/>
    <w:rsid w:val="00456D41"/>
    <w:rsid w:val="0046159A"/>
    <w:rsid w:val="00461BBF"/>
    <w:rsid w:val="004624BD"/>
    <w:rsid w:val="004630CA"/>
    <w:rsid w:val="004646F8"/>
    <w:rsid w:val="0046579C"/>
    <w:rsid w:val="00470970"/>
    <w:rsid w:val="0047225B"/>
    <w:rsid w:val="004746CC"/>
    <w:rsid w:val="00474D28"/>
    <w:rsid w:val="00474E77"/>
    <w:rsid w:val="004817C4"/>
    <w:rsid w:val="00483112"/>
    <w:rsid w:val="00484D49"/>
    <w:rsid w:val="00485C02"/>
    <w:rsid w:val="004874B5"/>
    <w:rsid w:val="00491C44"/>
    <w:rsid w:val="00491D3C"/>
    <w:rsid w:val="00493253"/>
    <w:rsid w:val="004937D2"/>
    <w:rsid w:val="00493E3B"/>
    <w:rsid w:val="00494038"/>
    <w:rsid w:val="0049410B"/>
    <w:rsid w:val="00494898"/>
    <w:rsid w:val="00495F8C"/>
    <w:rsid w:val="00496F01"/>
    <w:rsid w:val="00497A1A"/>
    <w:rsid w:val="004A1378"/>
    <w:rsid w:val="004A25E0"/>
    <w:rsid w:val="004A57A0"/>
    <w:rsid w:val="004A7DFB"/>
    <w:rsid w:val="004A7FE3"/>
    <w:rsid w:val="004B0572"/>
    <w:rsid w:val="004B09C6"/>
    <w:rsid w:val="004B0AEE"/>
    <w:rsid w:val="004B1D91"/>
    <w:rsid w:val="004B2786"/>
    <w:rsid w:val="004B305B"/>
    <w:rsid w:val="004B374B"/>
    <w:rsid w:val="004B403B"/>
    <w:rsid w:val="004B43E5"/>
    <w:rsid w:val="004B50BE"/>
    <w:rsid w:val="004B54CE"/>
    <w:rsid w:val="004B7AEF"/>
    <w:rsid w:val="004B7DBE"/>
    <w:rsid w:val="004C0333"/>
    <w:rsid w:val="004C0DDE"/>
    <w:rsid w:val="004C1291"/>
    <w:rsid w:val="004C1B67"/>
    <w:rsid w:val="004C20F2"/>
    <w:rsid w:val="004C3EC7"/>
    <w:rsid w:val="004C4267"/>
    <w:rsid w:val="004C4362"/>
    <w:rsid w:val="004C4CDB"/>
    <w:rsid w:val="004C5927"/>
    <w:rsid w:val="004D0131"/>
    <w:rsid w:val="004D0294"/>
    <w:rsid w:val="004D14C1"/>
    <w:rsid w:val="004D22BE"/>
    <w:rsid w:val="004D38A7"/>
    <w:rsid w:val="004D4B5C"/>
    <w:rsid w:val="004D4E14"/>
    <w:rsid w:val="004D69B8"/>
    <w:rsid w:val="004D69DF"/>
    <w:rsid w:val="004D6AAD"/>
    <w:rsid w:val="004D7197"/>
    <w:rsid w:val="004E0635"/>
    <w:rsid w:val="004E0AB3"/>
    <w:rsid w:val="004E0D39"/>
    <w:rsid w:val="004E12AF"/>
    <w:rsid w:val="004E1AB2"/>
    <w:rsid w:val="004E2DE4"/>
    <w:rsid w:val="004E415B"/>
    <w:rsid w:val="004E50D5"/>
    <w:rsid w:val="004E5333"/>
    <w:rsid w:val="004E66AE"/>
    <w:rsid w:val="004F17FE"/>
    <w:rsid w:val="004F25ED"/>
    <w:rsid w:val="004F3568"/>
    <w:rsid w:val="004F3B30"/>
    <w:rsid w:val="004F7094"/>
    <w:rsid w:val="0050107B"/>
    <w:rsid w:val="005019F7"/>
    <w:rsid w:val="00501FD5"/>
    <w:rsid w:val="00504F82"/>
    <w:rsid w:val="0050531D"/>
    <w:rsid w:val="0051011F"/>
    <w:rsid w:val="00510EE3"/>
    <w:rsid w:val="00511295"/>
    <w:rsid w:val="00511362"/>
    <w:rsid w:val="005118A0"/>
    <w:rsid w:val="00512BA7"/>
    <w:rsid w:val="00512E05"/>
    <w:rsid w:val="00513A8A"/>
    <w:rsid w:val="00513C1C"/>
    <w:rsid w:val="005141A7"/>
    <w:rsid w:val="0051431E"/>
    <w:rsid w:val="00514991"/>
    <w:rsid w:val="005158B1"/>
    <w:rsid w:val="00515DA3"/>
    <w:rsid w:val="0051610D"/>
    <w:rsid w:val="0051680B"/>
    <w:rsid w:val="00517A2C"/>
    <w:rsid w:val="00521A61"/>
    <w:rsid w:val="005227FB"/>
    <w:rsid w:val="00523DDE"/>
    <w:rsid w:val="00524E15"/>
    <w:rsid w:val="005252F3"/>
    <w:rsid w:val="00525805"/>
    <w:rsid w:val="00525978"/>
    <w:rsid w:val="00525C2F"/>
    <w:rsid w:val="005267FF"/>
    <w:rsid w:val="00527459"/>
    <w:rsid w:val="00527ED4"/>
    <w:rsid w:val="005302B1"/>
    <w:rsid w:val="00533166"/>
    <w:rsid w:val="00534303"/>
    <w:rsid w:val="005355FC"/>
    <w:rsid w:val="0053593D"/>
    <w:rsid w:val="00537213"/>
    <w:rsid w:val="005408AE"/>
    <w:rsid w:val="00540FD9"/>
    <w:rsid w:val="0054125D"/>
    <w:rsid w:val="00541BB8"/>
    <w:rsid w:val="0054384D"/>
    <w:rsid w:val="0054389B"/>
    <w:rsid w:val="00543A66"/>
    <w:rsid w:val="00544C37"/>
    <w:rsid w:val="00546B6E"/>
    <w:rsid w:val="00547D6E"/>
    <w:rsid w:val="00550446"/>
    <w:rsid w:val="0055097C"/>
    <w:rsid w:val="005509FE"/>
    <w:rsid w:val="00550B78"/>
    <w:rsid w:val="005517FD"/>
    <w:rsid w:val="00555E57"/>
    <w:rsid w:val="00557390"/>
    <w:rsid w:val="005579FF"/>
    <w:rsid w:val="00560089"/>
    <w:rsid w:val="00560BC9"/>
    <w:rsid w:val="00561ACC"/>
    <w:rsid w:val="00562483"/>
    <w:rsid w:val="00562624"/>
    <w:rsid w:val="00564C44"/>
    <w:rsid w:val="00565677"/>
    <w:rsid w:val="00565C16"/>
    <w:rsid w:val="00567BC0"/>
    <w:rsid w:val="00567F13"/>
    <w:rsid w:val="0057122C"/>
    <w:rsid w:val="005719D3"/>
    <w:rsid w:val="00571A7E"/>
    <w:rsid w:val="005720F4"/>
    <w:rsid w:val="005730F3"/>
    <w:rsid w:val="00574204"/>
    <w:rsid w:val="00574250"/>
    <w:rsid w:val="00574A01"/>
    <w:rsid w:val="00574D55"/>
    <w:rsid w:val="00576B16"/>
    <w:rsid w:val="005803B8"/>
    <w:rsid w:val="00580F9A"/>
    <w:rsid w:val="00583F65"/>
    <w:rsid w:val="005843BE"/>
    <w:rsid w:val="005846DD"/>
    <w:rsid w:val="00586179"/>
    <w:rsid w:val="0058630F"/>
    <w:rsid w:val="00590A0A"/>
    <w:rsid w:val="00590E8F"/>
    <w:rsid w:val="00591625"/>
    <w:rsid w:val="00591641"/>
    <w:rsid w:val="00591ED7"/>
    <w:rsid w:val="005939A4"/>
    <w:rsid w:val="00594827"/>
    <w:rsid w:val="00594C7A"/>
    <w:rsid w:val="00595716"/>
    <w:rsid w:val="005966BF"/>
    <w:rsid w:val="005976FF"/>
    <w:rsid w:val="00597A16"/>
    <w:rsid w:val="005A07F6"/>
    <w:rsid w:val="005A0FBB"/>
    <w:rsid w:val="005A1179"/>
    <w:rsid w:val="005A132E"/>
    <w:rsid w:val="005A203B"/>
    <w:rsid w:val="005A4B81"/>
    <w:rsid w:val="005A78DB"/>
    <w:rsid w:val="005B0066"/>
    <w:rsid w:val="005B0ED7"/>
    <w:rsid w:val="005B18B3"/>
    <w:rsid w:val="005B1ED8"/>
    <w:rsid w:val="005B202F"/>
    <w:rsid w:val="005B32D9"/>
    <w:rsid w:val="005B3F57"/>
    <w:rsid w:val="005B43C1"/>
    <w:rsid w:val="005B5394"/>
    <w:rsid w:val="005B6F41"/>
    <w:rsid w:val="005B77ED"/>
    <w:rsid w:val="005C120F"/>
    <w:rsid w:val="005C15E6"/>
    <w:rsid w:val="005C35DA"/>
    <w:rsid w:val="005C5651"/>
    <w:rsid w:val="005C5909"/>
    <w:rsid w:val="005C5BF1"/>
    <w:rsid w:val="005C6445"/>
    <w:rsid w:val="005C6D1F"/>
    <w:rsid w:val="005D105F"/>
    <w:rsid w:val="005D2E0D"/>
    <w:rsid w:val="005D3348"/>
    <w:rsid w:val="005D3D90"/>
    <w:rsid w:val="005D3DEE"/>
    <w:rsid w:val="005D4254"/>
    <w:rsid w:val="005D5232"/>
    <w:rsid w:val="005D71F7"/>
    <w:rsid w:val="005D7293"/>
    <w:rsid w:val="005D78C0"/>
    <w:rsid w:val="005D7B94"/>
    <w:rsid w:val="005D7E9F"/>
    <w:rsid w:val="005E2469"/>
    <w:rsid w:val="005E5287"/>
    <w:rsid w:val="005F0876"/>
    <w:rsid w:val="005F11EE"/>
    <w:rsid w:val="005F20E1"/>
    <w:rsid w:val="005F3877"/>
    <w:rsid w:val="005F4B27"/>
    <w:rsid w:val="005F6528"/>
    <w:rsid w:val="006023A0"/>
    <w:rsid w:val="006025F0"/>
    <w:rsid w:val="00603EF5"/>
    <w:rsid w:val="006100F7"/>
    <w:rsid w:val="006123C5"/>
    <w:rsid w:val="00612745"/>
    <w:rsid w:val="00615123"/>
    <w:rsid w:val="00615DF7"/>
    <w:rsid w:val="00616092"/>
    <w:rsid w:val="0061614C"/>
    <w:rsid w:val="00616198"/>
    <w:rsid w:val="00616787"/>
    <w:rsid w:val="006168CC"/>
    <w:rsid w:val="006169EA"/>
    <w:rsid w:val="00616C4F"/>
    <w:rsid w:val="00620122"/>
    <w:rsid w:val="006215D6"/>
    <w:rsid w:val="00621B96"/>
    <w:rsid w:val="006227C7"/>
    <w:rsid w:val="00622C52"/>
    <w:rsid w:val="006232B1"/>
    <w:rsid w:val="0062441B"/>
    <w:rsid w:val="00624FF6"/>
    <w:rsid w:val="006302D9"/>
    <w:rsid w:val="006315D9"/>
    <w:rsid w:val="006316E6"/>
    <w:rsid w:val="00631D0B"/>
    <w:rsid w:val="00632AA6"/>
    <w:rsid w:val="00633E2E"/>
    <w:rsid w:val="00634871"/>
    <w:rsid w:val="00634913"/>
    <w:rsid w:val="00634C4C"/>
    <w:rsid w:val="00634EF2"/>
    <w:rsid w:val="006350EE"/>
    <w:rsid w:val="006366B1"/>
    <w:rsid w:val="00637ADC"/>
    <w:rsid w:val="006403BA"/>
    <w:rsid w:val="00640D8B"/>
    <w:rsid w:val="00640DA7"/>
    <w:rsid w:val="00642950"/>
    <w:rsid w:val="00642B2A"/>
    <w:rsid w:val="00642EC2"/>
    <w:rsid w:val="00643AC9"/>
    <w:rsid w:val="00643B49"/>
    <w:rsid w:val="00643BC3"/>
    <w:rsid w:val="00643EDF"/>
    <w:rsid w:val="00644B28"/>
    <w:rsid w:val="00644E55"/>
    <w:rsid w:val="00645D27"/>
    <w:rsid w:val="006474E7"/>
    <w:rsid w:val="006478C0"/>
    <w:rsid w:val="00651134"/>
    <w:rsid w:val="00651558"/>
    <w:rsid w:val="00652EF4"/>
    <w:rsid w:val="0065378B"/>
    <w:rsid w:val="00653BD2"/>
    <w:rsid w:val="0065402E"/>
    <w:rsid w:val="00654116"/>
    <w:rsid w:val="00654B4D"/>
    <w:rsid w:val="00655191"/>
    <w:rsid w:val="006555A6"/>
    <w:rsid w:val="006605EF"/>
    <w:rsid w:val="00663E30"/>
    <w:rsid w:val="006647FD"/>
    <w:rsid w:val="00665344"/>
    <w:rsid w:val="00665660"/>
    <w:rsid w:val="00666ACC"/>
    <w:rsid w:val="00667347"/>
    <w:rsid w:val="00667A3F"/>
    <w:rsid w:val="006704F5"/>
    <w:rsid w:val="00670FCB"/>
    <w:rsid w:val="006714D0"/>
    <w:rsid w:val="006716FC"/>
    <w:rsid w:val="00671FBC"/>
    <w:rsid w:val="00672644"/>
    <w:rsid w:val="0068025D"/>
    <w:rsid w:val="00680C7A"/>
    <w:rsid w:val="00681332"/>
    <w:rsid w:val="00681405"/>
    <w:rsid w:val="00682872"/>
    <w:rsid w:val="006828A1"/>
    <w:rsid w:val="00682A1D"/>
    <w:rsid w:val="00683684"/>
    <w:rsid w:val="00684048"/>
    <w:rsid w:val="006856E5"/>
    <w:rsid w:val="00685DAE"/>
    <w:rsid w:val="0068729A"/>
    <w:rsid w:val="00687B9E"/>
    <w:rsid w:val="006904EE"/>
    <w:rsid w:val="00690BC0"/>
    <w:rsid w:val="00691FD2"/>
    <w:rsid w:val="006924F3"/>
    <w:rsid w:val="00692EDE"/>
    <w:rsid w:val="006932DE"/>
    <w:rsid w:val="0069377B"/>
    <w:rsid w:val="00693B15"/>
    <w:rsid w:val="00693B33"/>
    <w:rsid w:val="00695DE3"/>
    <w:rsid w:val="006970A1"/>
    <w:rsid w:val="006A04ED"/>
    <w:rsid w:val="006A0665"/>
    <w:rsid w:val="006A15B5"/>
    <w:rsid w:val="006A1E88"/>
    <w:rsid w:val="006A29C3"/>
    <w:rsid w:val="006A29D9"/>
    <w:rsid w:val="006A3FEB"/>
    <w:rsid w:val="006A531C"/>
    <w:rsid w:val="006A5526"/>
    <w:rsid w:val="006A5AFD"/>
    <w:rsid w:val="006A7288"/>
    <w:rsid w:val="006B04A5"/>
    <w:rsid w:val="006B0C38"/>
    <w:rsid w:val="006B0CBB"/>
    <w:rsid w:val="006B1E8F"/>
    <w:rsid w:val="006B2DA2"/>
    <w:rsid w:val="006B3216"/>
    <w:rsid w:val="006B325B"/>
    <w:rsid w:val="006B39DA"/>
    <w:rsid w:val="006B3FF3"/>
    <w:rsid w:val="006B48EF"/>
    <w:rsid w:val="006B49A4"/>
    <w:rsid w:val="006B56E5"/>
    <w:rsid w:val="006B6869"/>
    <w:rsid w:val="006B70FA"/>
    <w:rsid w:val="006B798C"/>
    <w:rsid w:val="006C01F8"/>
    <w:rsid w:val="006C1FCC"/>
    <w:rsid w:val="006C3E6C"/>
    <w:rsid w:val="006C4318"/>
    <w:rsid w:val="006C446A"/>
    <w:rsid w:val="006C51EC"/>
    <w:rsid w:val="006C66D6"/>
    <w:rsid w:val="006C6B31"/>
    <w:rsid w:val="006C77F0"/>
    <w:rsid w:val="006D0406"/>
    <w:rsid w:val="006D0831"/>
    <w:rsid w:val="006D0C9D"/>
    <w:rsid w:val="006D2A4F"/>
    <w:rsid w:val="006D60C9"/>
    <w:rsid w:val="006E00DB"/>
    <w:rsid w:val="006E0420"/>
    <w:rsid w:val="006E06F8"/>
    <w:rsid w:val="006E07FA"/>
    <w:rsid w:val="006E1544"/>
    <w:rsid w:val="006E3A4F"/>
    <w:rsid w:val="006E4C6F"/>
    <w:rsid w:val="006E6CF1"/>
    <w:rsid w:val="006E723A"/>
    <w:rsid w:val="006E7433"/>
    <w:rsid w:val="006E763F"/>
    <w:rsid w:val="006F14F4"/>
    <w:rsid w:val="006F1B9C"/>
    <w:rsid w:val="006F4699"/>
    <w:rsid w:val="006F5248"/>
    <w:rsid w:val="006F5A4E"/>
    <w:rsid w:val="00700522"/>
    <w:rsid w:val="0070106E"/>
    <w:rsid w:val="0070236F"/>
    <w:rsid w:val="00703F78"/>
    <w:rsid w:val="00704686"/>
    <w:rsid w:val="00705FC0"/>
    <w:rsid w:val="0070624B"/>
    <w:rsid w:val="00706D9F"/>
    <w:rsid w:val="00707095"/>
    <w:rsid w:val="00710C71"/>
    <w:rsid w:val="00710DFF"/>
    <w:rsid w:val="00710F3F"/>
    <w:rsid w:val="007116EB"/>
    <w:rsid w:val="00712976"/>
    <w:rsid w:val="00714A4F"/>
    <w:rsid w:val="007150C7"/>
    <w:rsid w:val="00720719"/>
    <w:rsid w:val="00720DFA"/>
    <w:rsid w:val="00721E01"/>
    <w:rsid w:val="00722861"/>
    <w:rsid w:val="007229F9"/>
    <w:rsid w:val="00723064"/>
    <w:rsid w:val="00723E7C"/>
    <w:rsid w:val="00723EB3"/>
    <w:rsid w:val="007246C4"/>
    <w:rsid w:val="00725967"/>
    <w:rsid w:val="00727084"/>
    <w:rsid w:val="007304D0"/>
    <w:rsid w:val="00731049"/>
    <w:rsid w:val="0073290E"/>
    <w:rsid w:val="00733D3D"/>
    <w:rsid w:val="00734C15"/>
    <w:rsid w:val="00737A77"/>
    <w:rsid w:val="00740062"/>
    <w:rsid w:val="007435AF"/>
    <w:rsid w:val="00745ECE"/>
    <w:rsid w:val="007467F1"/>
    <w:rsid w:val="00746A40"/>
    <w:rsid w:val="0075372B"/>
    <w:rsid w:val="0075485A"/>
    <w:rsid w:val="007550F9"/>
    <w:rsid w:val="00755594"/>
    <w:rsid w:val="007561BA"/>
    <w:rsid w:val="00760977"/>
    <w:rsid w:val="00761139"/>
    <w:rsid w:val="007618EF"/>
    <w:rsid w:val="00762CB4"/>
    <w:rsid w:val="00764B15"/>
    <w:rsid w:val="00765DB1"/>
    <w:rsid w:val="00771339"/>
    <w:rsid w:val="007727B5"/>
    <w:rsid w:val="0077340D"/>
    <w:rsid w:val="00774084"/>
    <w:rsid w:val="00774410"/>
    <w:rsid w:val="00775ABD"/>
    <w:rsid w:val="00776BC6"/>
    <w:rsid w:val="00783769"/>
    <w:rsid w:val="00784B13"/>
    <w:rsid w:val="00784D67"/>
    <w:rsid w:val="00785612"/>
    <w:rsid w:val="00785BA0"/>
    <w:rsid w:val="00786877"/>
    <w:rsid w:val="00786EF0"/>
    <w:rsid w:val="0079105B"/>
    <w:rsid w:val="00791377"/>
    <w:rsid w:val="0079198B"/>
    <w:rsid w:val="007921D2"/>
    <w:rsid w:val="007942E7"/>
    <w:rsid w:val="007963AA"/>
    <w:rsid w:val="00797798"/>
    <w:rsid w:val="007A12D8"/>
    <w:rsid w:val="007A22F2"/>
    <w:rsid w:val="007A2806"/>
    <w:rsid w:val="007A2C87"/>
    <w:rsid w:val="007A3DE2"/>
    <w:rsid w:val="007A436D"/>
    <w:rsid w:val="007A4DF8"/>
    <w:rsid w:val="007A5DAD"/>
    <w:rsid w:val="007A6339"/>
    <w:rsid w:val="007A64A8"/>
    <w:rsid w:val="007A7071"/>
    <w:rsid w:val="007A7A20"/>
    <w:rsid w:val="007B0551"/>
    <w:rsid w:val="007B093F"/>
    <w:rsid w:val="007B27C2"/>
    <w:rsid w:val="007B3BF5"/>
    <w:rsid w:val="007B3E37"/>
    <w:rsid w:val="007B4284"/>
    <w:rsid w:val="007B77D1"/>
    <w:rsid w:val="007C3484"/>
    <w:rsid w:val="007C39A5"/>
    <w:rsid w:val="007C65E0"/>
    <w:rsid w:val="007C70DD"/>
    <w:rsid w:val="007D12FE"/>
    <w:rsid w:val="007D21A4"/>
    <w:rsid w:val="007D2E20"/>
    <w:rsid w:val="007D3755"/>
    <w:rsid w:val="007D4612"/>
    <w:rsid w:val="007D51B4"/>
    <w:rsid w:val="007D6273"/>
    <w:rsid w:val="007D6A5E"/>
    <w:rsid w:val="007D7232"/>
    <w:rsid w:val="007E10D1"/>
    <w:rsid w:val="007E1E45"/>
    <w:rsid w:val="007E253B"/>
    <w:rsid w:val="007E2A22"/>
    <w:rsid w:val="007E32C1"/>
    <w:rsid w:val="007E4066"/>
    <w:rsid w:val="007E4F4E"/>
    <w:rsid w:val="007E59C5"/>
    <w:rsid w:val="007E69B0"/>
    <w:rsid w:val="007E7903"/>
    <w:rsid w:val="007F1642"/>
    <w:rsid w:val="007F1FB3"/>
    <w:rsid w:val="007F38C7"/>
    <w:rsid w:val="007F6969"/>
    <w:rsid w:val="007F6D61"/>
    <w:rsid w:val="007F7A0C"/>
    <w:rsid w:val="007F7D65"/>
    <w:rsid w:val="008019BF"/>
    <w:rsid w:val="00802F3A"/>
    <w:rsid w:val="0080410C"/>
    <w:rsid w:val="00805079"/>
    <w:rsid w:val="00807390"/>
    <w:rsid w:val="00807812"/>
    <w:rsid w:val="00810AF4"/>
    <w:rsid w:val="00811795"/>
    <w:rsid w:val="00811DED"/>
    <w:rsid w:val="00812400"/>
    <w:rsid w:val="008129FE"/>
    <w:rsid w:val="00814473"/>
    <w:rsid w:val="008154CA"/>
    <w:rsid w:val="00815A66"/>
    <w:rsid w:val="008160AF"/>
    <w:rsid w:val="00817544"/>
    <w:rsid w:val="00817874"/>
    <w:rsid w:val="00817963"/>
    <w:rsid w:val="0081797F"/>
    <w:rsid w:val="0082013F"/>
    <w:rsid w:val="00820255"/>
    <w:rsid w:val="00820BFD"/>
    <w:rsid w:val="00821EAD"/>
    <w:rsid w:val="00822313"/>
    <w:rsid w:val="0082379A"/>
    <w:rsid w:val="00824B28"/>
    <w:rsid w:val="00827178"/>
    <w:rsid w:val="008272C8"/>
    <w:rsid w:val="008302E8"/>
    <w:rsid w:val="008307B7"/>
    <w:rsid w:val="008308A8"/>
    <w:rsid w:val="00831453"/>
    <w:rsid w:val="00833168"/>
    <w:rsid w:val="00836B4C"/>
    <w:rsid w:val="008404C8"/>
    <w:rsid w:val="008417B9"/>
    <w:rsid w:val="0084277C"/>
    <w:rsid w:val="00843BA3"/>
    <w:rsid w:val="00845F71"/>
    <w:rsid w:val="00847051"/>
    <w:rsid w:val="00847072"/>
    <w:rsid w:val="00847EDC"/>
    <w:rsid w:val="008503B3"/>
    <w:rsid w:val="00851A4D"/>
    <w:rsid w:val="00852021"/>
    <w:rsid w:val="0085281E"/>
    <w:rsid w:val="00852FA1"/>
    <w:rsid w:val="0085421B"/>
    <w:rsid w:val="00855C6F"/>
    <w:rsid w:val="0085626F"/>
    <w:rsid w:val="00856DBE"/>
    <w:rsid w:val="00857999"/>
    <w:rsid w:val="00861068"/>
    <w:rsid w:val="0086149A"/>
    <w:rsid w:val="00862A32"/>
    <w:rsid w:val="00862BB8"/>
    <w:rsid w:val="00863143"/>
    <w:rsid w:val="00863A9D"/>
    <w:rsid w:val="008648D2"/>
    <w:rsid w:val="00864CCF"/>
    <w:rsid w:val="00864F9D"/>
    <w:rsid w:val="008651B2"/>
    <w:rsid w:val="008663E3"/>
    <w:rsid w:val="00866F83"/>
    <w:rsid w:val="00870061"/>
    <w:rsid w:val="00870572"/>
    <w:rsid w:val="00870B5D"/>
    <w:rsid w:val="008726D4"/>
    <w:rsid w:val="00874719"/>
    <w:rsid w:val="0087565F"/>
    <w:rsid w:val="00875A97"/>
    <w:rsid w:val="00875D8A"/>
    <w:rsid w:val="0087602D"/>
    <w:rsid w:val="00880FAE"/>
    <w:rsid w:val="008815A3"/>
    <w:rsid w:val="00883586"/>
    <w:rsid w:val="00883FE4"/>
    <w:rsid w:val="00884672"/>
    <w:rsid w:val="00884D64"/>
    <w:rsid w:val="00885ABA"/>
    <w:rsid w:val="00885CDB"/>
    <w:rsid w:val="0088664C"/>
    <w:rsid w:val="00886FAD"/>
    <w:rsid w:val="00890B88"/>
    <w:rsid w:val="00891C06"/>
    <w:rsid w:val="00892CB5"/>
    <w:rsid w:val="00892FC7"/>
    <w:rsid w:val="00893A8E"/>
    <w:rsid w:val="00893DA2"/>
    <w:rsid w:val="008942C9"/>
    <w:rsid w:val="008942D8"/>
    <w:rsid w:val="0089430C"/>
    <w:rsid w:val="00894FC0"/>
    <w:rsid w:val="00895A8B"/>
    <w:rsid w:val="00895CD6"/>
    <w:rsid w:val="008972A4"/>
    <w:rsid w:val="008974F8"/>
    <w:rsid w:val="00897EB5"/>
    <w:rsid w:val="008A21D8"/>
    <w:rsid w:val="008A23E2"/>
    <w:rsid w:val="008A361F"/>
    <w:rsid w:val="008A3E33"/>
    <w:rsid w:val="008A5CFB"/>
    <w:rsid w:val="008A6593"/>
    <w:rsid w:val="008A69A2"/>
    <w:rsid w:val="008A6AC5"/>
    <w:rsid w:val="008A790F"/>
    <w:rsid w:val="008B244E"/>
    <w:rsid w:val="008B330F"/>
    <w:rsid w:val="008B3ACD"/>
    <w:rsid w:val="008B55CA"/>
    <w:rsid w:val="008B5808"/>
    <w:rsid w:val="008B63C9"/>
    <w:rsid w:val="008B6760"/>
    <w:rsid w:val="008B70FE"/>
    <w:rsid w:val="008B7A33"/>
    <w:rsid w:val="008B7BA2"/>
    <w:rsid w:val="008B7CD9"/>
    <w:rsid w:val="008B7CF0"/>
    <w:rsid w:val="008C035D"/>
    <w:rsid w:val="008C1557"/>
    <w:rsid w:val="008C1F05"/>
    <w:rsid w:val="008C476D"/>
    <w:rsid w:val="008C4956"/>
    <w:rsid w:val="008C52CC"/>
    <w:rsid w:val="008C5E6A"/>
    <w:rsid w:val="008C6846"/>
    <w:rsid w:val="008C7B78"/>
    <w:rsid w:val="008C7DD0"/>
    <w:rsid w:val="008D1331"/>
    <w:rsid w:val="008D1421"/>
    <w:rsid w:val="008D2ABA"/>
    <w:rsid w:val="008D3764"/>
    <w:rsid w:val="008D4DCC"/>
    <w:rsid w:val="008D576B"/>
    <w:rsid w:val="008E1705"/>
    <w:rsid w:val="008E2183"/>
    <w:rsid w:val="008E228C"/>
    <w:rsid w:val="008E2803"/>
    <w:rsid w:val="008E55A2"/>
    <w:rsid w:val="008F03CD"/>
    <w:rsid w:val="008F0E0D"/>
    <w:rsid w:val="008F2789"/>
    <w:rsid w:val="008F2A2B"/>
    <w:rsid w:val="008F2AFE"/>
    <w:rsid w:val="008F4D13"/>
    <w:rsid w:val="008F5EC9"/>
    <w:rsid w:val="008F6A41"/>
    <w:rsid w:val="008F6D6B"/>
    <w:rsid w:val="008F6EE6"/>
    <w:rsid w:val="00900523"/>
    <w:rsid w:val="00900A32"/>
    <w:rsid w:val="00901054"/>
    <w:rsid w:val="00901B6B"/>
    <w:rsid w:val="00901C09"/>
    <w:rsid w:val="00902076"/>
    <w:rsid w:val="0090222C"/>
    <w:rsid w:val="00904D8B"/>
    <w:rsid w:val="009051C0"/>
    <w:rsid w:val="009067F7"/>
    <w:rsid w:val="00906BC2"/>
    <w:rsid w:val="009107D5"/>
    <w:rsid w:val="00911B42"/>
    <w:rsid w:val="00911E98"/>
    <w:rsid w:val="0091207A"/>
    <w:rsid w:val="009127A9"/>
    <w:rsid w:val="00913773"/>
    <w:rsid w:val="00913F8C"/>
    <w:rsid w:val="00914071"/>
    <w:rsid w:val="00914553"/>
    <w:rsid w:val="00915295"/>
    <w:rsid w:val="00915327"/>
    <w:rsid w:val="0091590D"/>
    <w:rsid w:val="009173A8"/>
    <w:rsid w:val="00917727"/>
    <w:rsid w:val="0091781A"/>
    <w:rsid w:val="009200EA"/>
    <w:rsid w:val="009207F7"/>
    <w:rsid w:val="00922A8F"/>
    <w:rsid w:val="00922BF7"/>
    <w:rsid w:val="00922DBA"/>
    <w:rsid w:val="00922F8D"/>
    <w:rsid w:val="009230BF"/>
    <w:rsid w:val="00923D42"/>
    <w:rsid w:val="00924038"/>
    <w:rsid w:val="00924706"/>
    <w:rsid w:val="00925584"/>
    <w:rsid w:val="00927C72"/>
    <w:rsid w:val="00933A62"/>
    <w:rsid w:val="00933C51"/>
    <w:rsid w:val="00934891"/>
    <w:rsid w:val="00934A10"/>
    <w:rsid w:val="009358FD"/>
    <w:rsid w:val="00935DC5"/>
    <w:rsid w:val="0093665C"/>
    <w:rsid w:val="00937A85"/>
    <w:rsid w:val="009414C7"/>
    <w:rsid w:val="00941C98"/>
    <w:rsid w:val="00941E25"/>
    <w:rsid w:val="009429D4"/>
    <w:rsid w:val="00944F8F"/>
    <w:rsid w:val="009457B1"/>
    <w:rsid w:val="00945C97"/>
    <w:rsid w:val="00946EC6"/>
    <w:rsid w:val="009506B4"/>
    <w:rsid w:val="00950B39"/>
    <w:rsid w:val="00951258"/>
    <w:rsid w:val="0095135B"/>
    <w:rsid w:val="009529A3"/>
    <w:rsid w:val="009551F2"/>
    <w:rsid w:val="00955B9A"/>
    <w:rsid w:val="00957DE1"/>
    <w:rsid w:val="00963649"/>
    <w:rsid w:val="00963B94"/>
    <w:rsid w:val="00964121"/>
    <w:rsid w:val="00964A55"/>
    <w:rsid w:val="00966EE4"/>
    <w:rsid w:val="00967787"/>
    <w:rsid w:val="0097094C"/>
    <w:rsid w:val="00970AFA"/>
    <w:rsid w:val="0097107F"/>
    <w:rsid w:val="00971D4D"/>
    <w:rsid w:val="009736F8"/>
    <w:rsid w:val="009746B2"/>
    <w:rsid w:val="00974C51"/>
    <w:rsid w:val="00975CA1"/>
    <w:rsid w:val="00976897"/>
    <w:rsid w:val="009771F6"/>
    <w:rsid w:val="00977B92"/>
    <w:rsid w:val="00977FDF"/>
    <w:rsid w:val="00980065"/>
    <w:rsid w:val="00980F89"/>
    <w:rsid w:val="00981F64"/>
    <w:rsid w:val="00982F82"/>
    <w:rsid w:val="0098437F"/>
    <w:rsid w:val="00985807"/>
    <w:rsid w:val="009871E7"/>
    <w:rsid w:val="009872EF"/>
    <w:rsid w:val="00987EB0"/>
    <w:rsid w:val="00990442"/>
    <w:rsid w:val="00990654"/>
    <w:rsid w:val="0099141E"/>
    <w:rsid w:val="00993466"/>
    <w:rsid w:val="00993945"/>
    <w:rsid w:val="00993CC7"/>
    <w:rsid w:val="0099461F"/>
    <w:rsid w:val="00994710"/>
    <w:rsid w:val="00994C1F"/>
    <w:rsid w:val="0099507B"/>
    <w:rsid w:val="0099531D"/>
    <w:rsid w:val="00995E88"/>
    <w:rsid w:val="00997841"/>
    <w:rsid w:val="009A076E"/>
    <w:rsid w:val="009A1963"/>
    <w:rsid w:val="009A21BB"/>
    <w:rsid w:val="009A4660"/>
    <w:rsid w:val="009A46A0"/>
    <w:rsid w:val="009A498A"/>
    <w:rsid w:val="009A49F0"/>
    <w:rsid w:val="009A6009"/>
    <w:rsid w:val="009A612E"/>
    <w:rsid w:val="009A6C4A"/>
    <w:rsid w:val="009A6F70"/>
    <w:rsid w:val="009B07C5"/>
    <w:rsid w:val="009B100C"/>
    <w:rsid w:val="009B2D59"/>
    <w:rsid w:val="009B3007"/>
    <w:rsid w:val="009B4090"/>
    <w:rsid w:val="009B4B99"/>
    <w:rsid w:val="009B52CF"/>
    <w:rsid w:val="009B6406"/>
    <w:rsid w:val="009C100F"/>
    <w:rsid w:val="009C1A11"/>
    <w:rsid w:val="009C1B81"/>
    <w:rsid w:val="009C3EAF"/>
    <w:rsid w:val="009C5717"/>
    <w:rsid w:val="009C58E5"/>
    <w:rsid w:val="009C5A2B"/>
    <w:rsid w:val="009C6B62"/>
    <w:rsid w:val="009D0CBC"/>
    <w:rsid w:val="009D132E"/>
    <w:rsid w:val="009D24F7"/>
    <w:rsid w:val="009D33EF"/>
    <w:rsid w:val="009D3A90"/>
    <w:rsid w:val="009D4433"/>
    <w:rsid w:val="009D48C4"/>
    <w:rsid w:val="009D5172"/>
    <w:rsid w:val="009D5C30"/>
    <w:rsid w:val="009D64D6"/>
    <w:rsid w:val="009E0FED"/>
    <w:rsid w:val="009E20C7"/>
    <w:rsid w:val="009E230D"/>
    <w:rsid w:val="009E654F"/>
    <w:rsid w:val="009E6ACE"/>
    <w:rsid w:val="009E6D4D"/>
    <w:rsid w:val="009E7E11"/>
    <w:rsid w:val="009F15B6"/>
    <w:rsid w:val="009F20C9"/>
    <w:rsid w:val="009F3892"/>
    <w:rsid w:val="009F4B62"/>
    <w:rsid w:val="009F58E8"/>
    <w:rsid w:val="009F652B"/>
    <w:rsid w:val="009F7120"/>
    <w:rsid w:val="009F7447"/>
    <w:rsid w:val="00A00EB0"/>
    <w:rsid w:val="00A026B2"/>
    <w:rsid w:val="00A02BBC"/>
    <w:rsid w:val="00A02FD1"/>
    <w:rsid w:val="00A03AD4"/>
    <w:rsid w:val="00A04720"/>
    <w:rsid w:val="00A04793"/>
    <w:rsid w:val="00A04EF9"/>
    <w:rsid w:val="00A04EFE"/>
    <w:rsid w:val="00A07A10"/>
    <w:rsid w:val="00A101B8"/>
    <w:rsid w:val="00A10710"/>
    <w:rsid w:val="00A10EE1"/>
    <w:rsid w:val="00A118B3"/>
    <w:rsid w:val="00A11A2A"/>
    <w:rsid w:val="00A11AFF"/>
    <w:rsid w:val="00A128B0"/>
    <w:rsid w:val="00A128F4"/>
    <w:rsid w:val="00A12F76"/>
    <w:rsid w:val="00A1539E"/>
    <w:rsid w:val="00A16A9D"/>
    <w:rsid w:val="00A174D6"/>
    <w:rsid w:val="00A20067"/>
    <w:rsid w:val="00A20BC9"/>
    <w:rsid w:val="00A224DC"/>
    <w:rsid w:val="00A23D54"/>
    <w:rsid w:val="00A2465F"/>
    <w:rsid w:val="00A250A2"/>
    <w:rsid w:val="00A25762"/>
    <w:rsid w:val="00A26E44"/>
    <w:rsid w:val="00A30156"/>
    <w:rsid w:val="00A30D80"/>
    <w:rsid w:val="00A3234C"/>
    <w:rsid w:val="00A3287F"/>
    <w:rsid w:val="00A32F1D"/>
    <w:rsid w:val="00A33454"/>
    <w:rsid w:val="00A340CC"/>
    <w:rsid w:val="00A34E24"/>
    <w:rsid w:val="00A35F1B"/>
    <w:rsid w:val="00A375FC"/>
    <w:rsid w:val="00A405E2"/>
    <w:rsid w:val="00A411F8"/>
    <w:rsid w:val="00A41255"/>
    <w:rsid w:val="00A43BA3"/>
    <w:rsid w:val="00A43D73"/>
    <w:rsid w:val="00A43E7F"/>
    <w:rsid w:val="00A44BE8"/>
    <w:rsid w:val="00A4656B"/>
    <w:rsid w:val="00A46C6F"/>
    <w:rsid w:val="00A50355"/>
    <w:rsid w:val="00A51C47"/>
    <w:rsid w:val="00A51E44"/>
    <w:rsid w:val="00A5494E"/>
    <w:rsid w:val="00A55231"/>
    <w:rsid w:val="00A5784A"/>
    <w:rsid w:val="00A61159"/>
    <w:rsid w:val="00A6168C"/>
    <w:rsid w:val="00A617C4"/>
    <w:rsid w:val="00A61D4A"/>
    <w:rsid w:val="00A61FEF"/>
    <w:rsid w:val="00A62D0C"/>
    <w:rsid w:val="00A63452"/>
    <w:rsid w:val="00A66089"/>
    <w:rsid w:val="00A66C68"/>
    <w:rsid w:val="00A71B47"/>
    <w:rsid w:val="00A71DAA"/>
    <w:rsid w:val="00A73513"/>
    <w:rsid w:val="00A73C73"/>
    <w:rsid w:val="00A7486A"/>
    <w:rsid w:val="00A77905"/>
    <w:rsid w:val="00A82677"/>
    <w:rsid w:val="00A8276B"/>
    <w:rsid w:val="00A82A44"/>
    <w:rsid w:val="00A840E2"/>
    <w:rsid w:val="00A84150"/>
    <w:rsid w:val="00A863E6"/>
    <w:rsid w:val="00A86494"/>
    <w:rsid w:val="00A867DD"/>
    <w:rsid w:val="00A8723D"/>
    <w:rsid w:val="00A87651"/>
    <w:rsid w:val="00A96955"/>
    <w:rsid w:val="00A96B27"/>
    <w:rsid w:val="00A96B3E"/>
    <w:rsid w:val="00AA0168"/>
    <w:rsid w:val="00AA1E13"/>
    <w:rsid w:val="00AA2021"/>
    <w:rsid w:val="00AA2B2F"/>
    <w:rsid w:val="00AA31AE"/>
    <w:rsid w:val="00AA3401"/>
    <w:rsid w:val="00AA3418"/>
    <w:rsid w:val="00AA39E2"/>
    <w:rsid w:val="00AA5EB5"/>
    <w:rsid w:val="00AA642D"/>
    <w:rsid w:val="00AB02BB"/>
    <w:rsid w:val="00AB1AC8"/>
    <w:rsid w:val="00AB481E"/>
    <w:rsid w:val="00AB567B"/>
    <w:rsid w:val="00AB7898"/>
    <w:rsid w:val="00AB7973"/>
    <w:rsid w:val="00AC144A"/>
    <w:rsid w:val="00AC1D42"/>
    <w:rsid w:val="00AC24CC"/>
    <w:rsid w:val="00AC2865"/>
    <w:rsid w:val="00AC2D60"/>
    <w:rsid w:val="00AC6511"/>
    <w:rsid w:val="00AC6522"/>
    <w:rsid w:val="00AC715F"/>
    <w:rsid w:val="00AC7B02"/>
    <w:rsid w:val="00AD049C"/>
    <w:rsid w:val="00AD1CE0"/>
    <w:rsid w:val="00AD29EA"/>
    <w:rsid w:val="00AD4E11"/>
    <w:rsid w:val="00AD59E0"/>
    <w:rsid w:val="00AD6C47"/>
    <w:rsid w:val="00AD6D15"/>
    <w:rsid w:val="00AD70DB"/>
    <w:rsid w:val="00AE1949"/>
    <w:rsid w:val="00AE261A"/>
    <w:rsid w:val="00AE28EC"/>
    <w:rsid w:val="00AE34B1"/>
    <w:rsid w:val="00AE3B2D"/>
    <w:rsid w:val="00AE45AC"/>
    <w:rsid w:val="00AE4C63"/>
    <w:rsid w:val="00AE5E93"/>
    <w:rsid w:val="00AE65DA"/>
    <w:rsid w:val="00AF09C0"/>
    <w:rsid w:val="00AF100A"/>
    <w:rsid w:val="00AF1931"/>
    <w:rsid w:val="00AF1A05"/>
    <w:rsid w:val="00AF4761"/>
    <w:rsid w:val="00AF47B4"/>
    <w:rsid w:val="00AF4B93"/>
    <w:rsid w:val="00AF6CF8"/>
    <w:rsid w:val="00AF75EA"/>
    <w:rsid w:val="00B0384F"/>
    <w:rsid w:val="00B03CE1"/>
    <w:rsid w:val="00B064D3"/>
    <w:rsid w:val="00B1183C"/>
    <w:rsid w:val="00B11B28"/>
    <w:rsid w:val="00B1255E"/>
    <w:rsid w:val="00B12EFB"/>
    <w:rsid w:val="00B13937"/>
    <w:rsid w:val="00B148CE"/>
    <w:rsid w:val="00B1588D"/>
    <w:rsid w:val="00B15F7C"/>
    <w:rsid w:val="00B17427"/>
    <w:rsid w:val="00B203CC"/>
    <w:rsid w:val="00B20506"/>
    <w:rsid w:val="00B2320F"/>
    <w:rsid w:val="00B24491"/>
    <w:rsid w:val="00B261E9"/>
    <w:rsid w:val="00B2624D"/>
    <w:rsid w:val="00B26290"/>
    <w:rsid w:val="00B26EFA"/>
    <w:rsid w:val="00B30465"/>
    <w:rsid w:val="00B33BE2"/>
    <w:rsid w:val="00B34551"/>
    <w:rsid w:val="00B3493F"/>
    <w:rsid w:val="00B34C92"/>
    <w:rsid w:val="00B358EC"/>
    <w:rsid w:val="00B3598E"/>
    <w:rsid w:val="00B359A5"/>
    <w:rsid w:val="00B359F6"/>
    <w:rsid w:val="00B35A00"/>
    <w:rsid w:val="00B37744"/>
    <w:rsid w:val="00B37E48"/>
    <w:rsid w:val="00B408CF"/>
    <w:rsid w:val="00B40C79"/>
    <w:rsid w:val="00B40EA4"/>
    <w:rsid w:val="00B40F60"/>
    <w:rsid w:val="00B41065"/>
    <w:rsid w:val="00B426C7"/>
    <w:rsid w:val="00B42F6F"/>
    <w:rsid w:val="00B4537A"/>
    <w:rsid w:val="00B45A47"/>
    <w:rsid w:val="00B4629B"/>
    <w:rsid w:val="00B50BE6"/>
    <w:rsid w:val="00B514C9"/>
    <w:rsid w:val="00B51E36"/>
    <w:rsid w:val="00B55F82"/>
    <w:rsid w:val="00B560B9"/>
    <w:rsid w:val="00B56339"/>
    <w:rsid w:val="00B566A9"/>
    <w:rsid w:val="00B57C43"/>
    <w:rsid w:val="00B60934"/>
    <w:rsid w:val="00B60B60"/>
    <w:rsid w:val="00B61045"/>
    <w:rsid w:val="00B63B18"/>
    <w:rsid w:val="00B63DB1"/>
    <w:rsid w:val="00B64A61"/>
    <w:rsid w:val="00B64C99"/>
    <w:rsid w:val="00B64D51"/>
    <w:rsid w:val="00B655BC"/>
    <w:rsid w:val="00B66AC8"/>
    <w:rsid w:val="00B66B13"/>
    <w:rsid w:val="00B67A0F"/>
    <w:rsid w:val="00B67D49"/>
    <w:rsid w:val="00B67EE6"/>
    <w:rsid w:val="00B67F61"/>
    <w:rsid w:val="00B70AC4"/>
    <w:rsid w:val="00B7105B"/>
    <w:rsid w:val="00B72F43"/>
    <w:rsid w:val="00B76D3B"/>
    <w:rsid w:val="00B76F40"/>
    <w:rsid w:val="00B77364"/>
    <w:rsid w:val="00B807DE"/>
    <w:rsid w:val="00B832C2"/>
    <w:rsid w:val="00B836AC"/>
    <w:rsid w:val="00B83AD2"/>
    <w:rsid w:val="00B83CEC"/>
    <w:rsid w:val="00B8427E"/>
    <w:rsid w:val="00B846BC"/>
    <w:rsid w:val="00B85864"/>
    <w:rsid w:val="00B87D39"/>
    <w:rsid w:val="00B87E36"/>
    <w:rsid w:val="00B91C76"/>
    <w:rsid w:val="00B93682"/>
    <w:rsid w:val="00B94ADF"/>
    <w:rsid w:val="00B95B26"/>
    <w:rsid w:val="00B974C7"/>
    <w:rsid w:val="00B975DD"/>
    <w:rsid w:val="00BA077A"/>
    <w:rsid w:val="00BA0E03"/>
    <w:rsid w:val="00BA158D"/>
    <w:rsid w:val="00BA1918"/>
    <w:rsid w:val="00BA2438"/>
    <w:rsid w:val="00BA2EEE"/>
    <w:rsid w:val="00BA387A"/>
    <w:rsid w:val="00BA49BA"/>
    <w:rsid w:val="00BA4C79"/>
    <w:rsid w:val="00BA500F"/>
    <w:rsid w:val="00BA6642"/>
    <w:rsid w:val="00BA7B1F"/>
    <w:rsid w:val="00BB02AF"/>
    <w:rsid w:val="00BB0DBF"/>
    <w:rsid w:val="00BB1162"/>
    <w:rsid w:val="00BB449E"/>
    <w:rsid w:val="00BB496A"/>
    <w:rsid w:val="00BB4FF3"/>
    <w:rsid w:val="00BB5DF4"/>
    <w:rsid w:val="00BC3057"/>
    <w:rsid w:val="00BC31EE"/>
    <w:rsid w:val="00BC3EF4"/>
    <w:rsid w:val="00BC49E2"/>
    <w:rsid w:val="00BC4BDD"/>
    <w:rsid w:val="00BC5B58"/>
    <w:rsid w:val="00BC693C"/>
    <w:rsid w:val="00BD3ADA"/>
    <w:rsid w:val="00BD3E88"/>
    <w:rsid w:val="00BD6864"/>
    <w:rsid w:val="00BE045A"/>
    <w:rsid w:val="00BE2C14"/>
    <w:rsid w:val="00BE37B6"/>
    <w:rsid w:val="00BE3861"/>
    <w:rsid w:val="00BE43E1"/>
    <w:rsid w:val="00BE5495"/>
    <w:rsid w:val="00BE5F81"/>
    <w:rsid w:val="00BE7BD2"/>
    <w:rsid w:val="00BF0118"/>
    <w:rsid w:val="00BF0A00"/>
    <w:rsid w:val="00BF0BD3"/>
    <w:rsid w:val="00BF0EF1"/>
    <w:rsid w:val="00BF17C0"/>
    <w:rsid w:val="00BF1A08"/>
    <w:rsid w:val="00BF24B6"/>
    <w:rsid w:val="00BF2D36"/>
    <w:rsid w:val="00BF3390"/>
    <w:rsid w:val="00BF4DF9"/>
    <w:rsid w:val="00BF50A9"/>
    <w:rsid w:val="00BF6806"/>
    <w:rsid w:val="00BF7B6F"/>
    <w:rsid w:val="00C0096A"/>
    <w:rsid w:val="00C00CDD"/>
    <w:rsid w:val="00C018EC"/>
    <w:rsid w:val="00C03A04"/>
    <w:rsid w:val="00C040A2"/>
    <w:rsid w:val="00C053A0"/>
    <w:rsid w:val="00C05628"/>
    <w:rsid w:val="00C05629"/>
    <w:rsid w:val="00C11491"/>
    <w:rsid w:val="00C116DD"/>
    <w:rsid w:val="00C11F7B"/>
    <w:rsid w:val="00C12058"/>
    <w:rsid w:val="00C12490"/>
    <w:rsid w:val="00C13756"/>
    <w:rsid w:val="00C159B5"/>
    <w:rsid w:val="00C17D9A"/>
    <w:rsid w:val="00C17E7C"/>
    <w:rsid w:val="00C200A6"/>
    <w:rsid w:val="00C22DA3"/>
    <w:rsid w:val="00C233B8"/>
    <w:rsid w:val="00C237F8"/>
    <w:rsid w:val="00C23E9F"/>
    <w:rsid w:val="00C244D6"/>
    <w:rsid w:val="00C2453E"/>
    <w:rsid w:val="00C246E4"/>
    <w:rsid w:val="00C24CDE"/>
    <w:rsid w:val="00C24DCE"/>
    <w:rsid w:val="00C251E3"/>
    <w:rsid w:val="00C251FA"/>
    <w:rsid w:val="00C259B6"/>
    <w:rsid w:val="00C25EED"/>
    <w:rsid w:val="00C26422"/>
    <w:rsid w:val="00C30310"/>
    <w:rsid w:val="00C305DE"/>
    <w:rsid w:val="00C30748"/>
    <w:rsid w:val="00C32834"/>
    <w:rsid w:val="00C3372C"/>
    <w:rsid w:val="00C34265"/>
    <w:rsid w:val="00C347A1"/>
    <w:rsid w:val="00C352AF"/>
    <w:rsid w:val="00C400E8"/>
    <w:rsid w:val="00C40AA3"/>
    <w:rsid w:val="00C41148"/>
    <w:rsid w:val="00C4273B"/>
    <w:rsid w:val="00C42895"/>
    <w:rsid w:val="00C42B31"/>
    <w:rsid w:val="00C42D2D"/>
    <w:rsid w:val="00C431A5"/>
    <w:rsid w:val="00C43E0C"/>
    <w:rsid w:val="00C4766A"/>
    <w:rsid w:val="00C503EB"/>
    <w:rsid w:val="00C50EA5"/>
    <w:rsid w:val="00C51B75"/>
    <w:rsid w:val="00C52283"/>
    <w:rsid w:val="00C52587"/>
    <w:rsid w:val="00C5461A"/>
    <w:rsid w:val="00C5569C"/>
    <w:rsid w:val="00C562E1"/>
    <w:rsid w:val="00C568C7"/>
    <w:rsid w:val="00C61EFB"/>
    <w:rsid w:val="00C62FD4"/>
    <w:rsid w:val="00C63204"/>
    <w:rsid w:val="00C64A9E"/>
    <w:rsid w:val="00C65AE5"/>
    <w:rsid w:val="00C66005"/>
    <w:rsid w:val="00C66F8B"/>
    <w:rsid w:val="00C67391"/>
    <w:rsid w:val="00C673AA"/>
    <w:rsid w:val="00C70BC2"/>
    <w:rsid w:val="00C737C9"/>
    <w:rsid w:val="00C7414F"/>
    <w:rsid w:val="00C74F45"/>
    <w:rsid w:val="00C76D19"/>
    <w:rsid w:val="00C77367"/>
    <w:rsid w:val="00C77A4A"/>
    <w:rsid w:val="00C80C9D"/>
    <w:rsid w:val="00C81F71"/>
    <w:rsid w:val="00C84543"/>
    <w:rsid w:val="00C85094"/>
    <w:rsid w:val="00C87101"/>
    <w:rsid w:val="00C9050C"/>
    <w:rsid w:val="00C91776"/>
    <w:rsid w:val="00C91ACC"/>
    <w:rsid w:val="00C91B71"/>
    <w:rsid w:val="00C91C98"/>
    <w:rsid w:val="00C9219A"/>
    <w:rsid w:val="00C93ED0"/>
    <w:rsid w:val="00C95209"/>
    <w:rsid w:val="00C97154"/>
    <w:rsid w:val="00C97202"/>
    <w:rsid w:val="00C97F89"/>
    <w:rsid w:val="00CA102A"/>
    <w:rsid w:val="00CA3876"/>
    <w:rsid w:val="00CA4445"/>
    <w:rsid w:val="00CA5C16"/>
    <w:rsid w:val="00CA73B5"/>
    <w:rsid w:val="00CA79BB"/>
    <w:rsid w:val="00CA79D4"/>
    <w:rsid w:val="00CB336D"/>
    <w:rsid w:val="00CB3E1D"/>
    <w:rsid w:val="00CB44A2"/>
    <w:rsid w:val="00CB5EF3"/>
    <w:rsid w:val="00CC0CE8"/>
    <w:rsid w:val="00CC15D3"/>
    <w:rsid w:val="00CC1B76"/>
    <w:rsid w:val="00CC3D3E"/>
    <w:rsid w:val="00CC4D47"/>
    <w:rsid w:val="00CC5A41"/>
    <w:rsid w:val="00CD00D0"/>
    <w:rsid w:val="00CD1320"/>
    <w:rsid w:val="00CD148C"/>
    <w:rsid w:val="00CD26FC"/>
    <w:rsid w:val="00CD405D"/>
    <w:rsid w:val="00CD4FD8"/>
    <w:rsid w:val="00CE3AC4"/>
    <w:rsid w:val="00CE3AE0"/>
    <w:rsid w:val="00CE423B"/>
    <w:rsid w:val="00CE49A7"/>
    <w:rsid w:val="00CE5223"/>
    <w:rsid w:val="00CE70B6"/>
    <w:rsid w:val="00CE7921"/>
    <w:rsid w:val="00CE7FB4"/>
    <w:rsid w:val="00CF03BB"/>
    <w:rsid w:val="00CF15CA"/>
    <w:rsid w:val="00CF1E9D"/>
    <w:rsid w:val="00CF28D6"/>
    <w:rsid w:val="00CF3219"/>
    <w:rsid w:val="00CF4455"/>
    <w:rsid w:val="00CF47B1"/>
    <w:rsid w:val="00CF7154"/>
    <w:rsid w:val="00CF7B58"/>
    <w:rsid w:val="00D01557"/>
    <w:rsid w:val="00D01D48"/>
    <w:rsid w:val="00D036E1"/>
    <w:rsid w:val="00D06A36"/>
    <w:rsid w:val="00D06AD1"/>
    <w:rsid w:val="00D070F6"/>
    <w:rsid w:val="00D07448"/>
    <w:rsid w:val="00D076AC"/>
    <w:rsid w:val="00D105D7"/>
    <w:rsid w:val="00D10EA6"/>
    <w:rsid w:val="00D11525"/>
    <w:rsid w:val="00D118C3"/>
    <w:rsid w:val="00D12E28"/>
    <w:rsid w:val="00D12EAC"/>
    <w:rsid w:val="00D16BA6"/>
    <w:rsid w:val="00D20D35"/>
    <w:rsid w:val="00D21DE1"/>
    <w:rsid w:val="00D223E1"/>
    <w:rsid w:val="00D2462C"/>
    <w:rsid w:val="00D247B2"/>
    <w:rsid w:val="00D25E2F"/>
    <w:rsid w:val="00D268C1"/>
    <w:rsid w:val="00D3166A"/>
    <w:rsid w:val="00D323EA"/>
    <w:rsid w:val="00D33163"/>
    <w:rsid w:val="00D35147"/>
    <w:rsid w:val="00D35E94"/>
    <w:rsid w:val="00D36F05"/>
    <w:rsid w:val="00D37447"/>
    <w:rsid w:val="00D4000B"/>
    <w:rsid w:val="00D44DC1"/>
    <w:rsid w:val="00D4525D"/>
    <w:rsid w:val="00D453BE"/>
    <w:rsid w:val="00D475EF"/>
    <w:rsid w:val="00D47920"/>
    <w:rsid w:val="00D47F35"/>
    <w:rsid w:val="00D51963"/>
    <w:rsid w:val="00D52E78"/>
    <w:rsid w:val="00D533E2"/>
    <w:rsid w:val="00D5693D"/>
    <w:rsid w:val="00D61963"/>
    <w:rsid w:val="00D61A8F"/>
    <w:rsid w:val="00D62A0F"/>
    <w:rsid w:val="00D6324E"/>
    <w:rsid w:val="00D63B9C"/>
    <w:rsid w:val="00D658D5"/>
    <w:rsid w:val="00D65BDC"/>
    <w:rsid w:val="00D65BF1"/>
    <w:rsid w:val="00D73515"/>
    <w:rsid w:val="00D7389A"/>
    <w:rsid w:val="00D750E8"/>
    <w:rsid w:val="00D756ED"/>
    <w:rsid w:val="00D76CB2"/>
    <w:rsid w:val="00D77240"/>
    <w:rsid w:val="00D80DD8"/>
    <w:rsid w:val="00D82038"/>
    <w:rsid w:val="00D827A0"/>
    <w:rsid w:val="00D82F04"/>
    <w:rsid w:val="00D8319E"/>
    <w:rsid w:val="00D83FE0"/>
    <w:rsid w:val="00D850F7"/>
    <w:rsid w:val="00D853B8"/>
    <w:rsid w:val="00D85501"/>
    <w:rsid w:val="00D85AC4"/>
    <w:rsid w:val="00D85F52"/>
    <w:rsid w:val="00D860B0"/>
    <w:rsid w:val="00D86B70"/>
    <w:rsid w:val="00D90056"/>
    <w:rsid w:val="00D92F8B"/>
    <w:rsid w:val="00D93748"/>
    <w:rsid w:val="00D93E21"/>
    <w:rsid w:val="00D94241"/>
    <w:rsid w:val="00D94AEF"/>
    <w:rsid w:val="00D94B76"/>
    <w:rsid w:val="00D95170"/>
    <w:rsid w:val="00D95AD2"/>
    <w:rsid w:val="00D9617D"/>
    <w:rsid w:val="00D96AE4"/>
    <w:rsid w:val="00D9713C"/>
    <w:rsid w:val="00D972EE"/>
    <w:rsid w:val="00D97BE3"/>
    <w:rsid w:val="00DA16C9"/>
    <w:rsid w:val="00DA21A8"/>
    <w:rsid w:val="00DA23C2"/>
    <w:rsid w:val="00DA2FDF"/>
    <w:rsid w:val="00DA35D4"/>
    <w:rsid w:val="00DA5625"/>
    <w:rsid w:val="00DA5D2E"/>
    <w:rsid w:val="00DA7A71"/>
    <w:rsid w:val="00DB060F"/>
    <w:rsid w:val="00DB1089"/>
    <w:rsid w:val="00DB402E"/>
    <w:rsid w:val="00DB567D"/>
    <w:rsid w:val="00DB6C5A"/>
    <w:rsid w:val="00DC10DE"/>
    <w:rsid w:val="00DC1DC1"/>
    <w:rsid w:val="00DC2B13"/>
    <w:rsid w:val="00DC3CF5"/>
    <w:rsid w:val="00DC60FE"/>
    <w:rsid w:val="00DC67A6"/>
    <w:rsid w:val="00DC706E"/>
    <w:rsid w:val="00DC75EF"/>
    <w:rsid w:val="00DD00BD"/>
    <w:rsid w:val="00DD02C0"/>
    <w:rsid w:val="00DD03BA"/>
    <w:rsid w:val="00DD0D79"/>
    <w:rsid w:val="00DD0E3B"/>
    <w:rsid w:val="00DD3114"/>
    <w:rsid w:val="00DD3A33"/>
    <w:rsid w:val="00DD427E"/>
    <w:rsid w:val="00DD560C"/>
    <w:rsid w:val="00DD5966"/>
    <w:rsid w:val="00DD5BE5"/>
    <w:rsid w:val="00DD6871"/>
    <w:rsid w:val="00DE0A06"/>
    <w:rsid w:val="00DE0E4A"/>
    <w:rsid w:val="00DE1B27"/>
    <w:rsid w:val="00DE1D41"/>
    <w:rsid w:val="00DE1FA4"/>
    <w:rsid w:val="00DE6E2A"/>
    <w:rsid w:val="00DE7E84"/>
    <w:rsid w:val="00DF02D9"/>
    <w:rsid w:val="00DF09D3"/>
    <w:rsid w:val="00DF0B8E"/>
    <w:rsid w:val="00DF10F6"/>
    <w:rsid w:val="00DF347D"/>
    <w:rsid w:val="00DF3D28"/>
    <w:rsid w:val="00DF3F54"/>
    <w:rsid w:val="00DF5400"/>
    <w:rsid w:val="00DF59C5"/>
    <w:rsid w:val="00DF5AB0"/>
    <w:rsid w:val="00DF5CAA"/>
    <w:rsid w:val="00E000C4"/>
    <w:rsid w:val="00E008E3"/>
    <w:rsid w:val="00E016D3"/>
    <w:rsid w:val="00E02DBF"/>
    <w:rsid w:val="00E04379"/>
    <w:rsid w:val="00E06A56"/>
    <w:rsid w:val="00E073BF"/>
    <w:rsid w:val="00E078DD"/>
    <w:rsid w:val="00E11140"/>
    <w:rsid w:val="00E11BCB"/>
    <w:rsid w:val="00E11FF5"/>
    <w:rsid w:val="00E123A8"/>
    <w:rsid w:val="00E127D0"/>
    <w:rsid w:val="00E1349C"/>
    <w:rsid w:val="00E1381F"/>
    <w:rsid w:val="00E145C0"/>
    <w:rsid w:val="00E17510"/>
    <w:rsid w:val="00E178C3"/>
    <w:rsid w:val="00E221A4"/>
    <w:rsid w:val="00E22F5F"/>
    <w:rsid w:val="00E23132"/>
    <w:rsid w:val="00E25506"/>
    <w:rsid w:val="00E276B6"/>
    <w:rsid w:val="00E3219F"/>
    <w:rsid w:val="00E32A16"/>
    <w:rsid w:val="00E335FA"/>
    <w:rsid w:val="00E33649"/>
    <w:rsid w:val="00E40365"/>
    <w:rsid w:val="00E40BB6"/>
    <w:rsid w:val="00E41B0F"/>
    <w:rsid w:val="00E42EF5"/>
    <w:rsid w:val="00E4498A"/>
    <w:rsid w:val="00E45060"/>
    <w:rsid w:val="00E477E7"/>
    <w:rsid w:val="00E50F6C"/>
    <w:rsid w:val="00E50FC0"/>
    <w:rsid w:val="00E5233B"/>
    <w:rsid w:val="00E53581"/>
    <w:rsid w:val="00E54E76"/>
    <w:rsid w:val="00E54FBB"/>
    <w:rsid w:val="00E558BB"/>
    <w:rsid w:val="00E579F2"/>
    <w:rsid w:val="00E57C04"/>
    <w:rsid w:val="00E60123"/>
    <w:rsid w:val="00E62601"/>
    <w:rsid w:val="00E627DD"/>
    <w:rsid w:val="00E62C32"/>
    <w:rsid w:val="00E660B7"/>
    <w:rsid w:val="00E666F0"/>
    <w:rsid w:val="00E66836"/>
    <w:rsid w:val="00E66ABE"/>
    <w:rsid w:val="00E710CB"/>
    <w:rsid w:val="00E71CEC"/>
    <w:rsid w:val="00E7216D"/>
    <w:rsid w:val="00E7256D"/>
    <w:rsid w:val="00E737DF"/>
    <w:rsid w:val="00E755CF"/>
    <w:rsid w:val="00E778EE"/>
    <w:rsid w:val="00E77C68"/>
    <w:rsid w:val="00E80896"/>
    <w:rsid w:val="00E825B9"/>
    <w:rsid w:val="00E82A11"/>
    <w:rsid w:val="00E85500"/>
    <w:rsid w:val="00E85D6E"/>
    <w:rsid w:val="00E86D88"/>
    <w:rsid w:val="00E935BB"/>
    <w:rsid w:val="00E93D84"/>
    <w:rsid w:val="00EA0452"/>
    <w:rsid w:val="00EA066E"/>
    <w:rsid w:val="00EA0CEF"/>
    <w:rsid w:val="00EA164F"/>
    <w:rsid w:val="00EA2704"/>
    <w:rsid w:val="00EA30B7"/>
    <w:rsid w:val="00EA4BDC"/>
    <w:rsid w:val="00EA6BA5"/>
    <w:rsid w:val="00EA7A0B"/>
    <w:rsid w:val="00EA7FE3"/>
    <w:rsid w:val="00EB12CA"/>
    <w:rsid w:val="00EB228C"/>
    <w:rsid w:val="00EB4068"/>
    <w:rsid w:val="00EB4953"/>
    <w:rsid w:val="00EB4B7B"/>
    <w:rsid w:val="00EB72B6"/>
    <w:rsid w:val="00EC04BA"/>
    <w:rsid w:val="00EC09D8"/>
    <w:rsid w:val="00EC0CD1"/>
    <w:rsid w:val="00EC15E1"/>
    <w:rsid w:val="00EC1771"/>
    <w:rsid w:val="00EC1BB5"/>
    <w:rsid w:val="00EC3A8F"/>
    <w:rsid w:val="00EC50E0"/>
    <w:rsid w:val="00EC600C"/>
    <w:rsid w:val="00ED065E"/>
    <w:rsid w:val="00ED6D81"/>
    <w:rsid w:val="00ED7740"/>
    <w:rsid w:val="00EE0661"/>
    <w:rsid w:val="00EE1041"/>
    <w:rsid w:val="00EE2348"/>
    <w:rsid w:val="00EE2392"/>
    <w:rsid w:val="00EE33BA"/>
    <w:rsid w:val="00EE4E74"/>
    <w:rsid w:val="00EE5453"/>
    <w:rsid w:val="00EE5843"/>
    <w:rsid w:val="00EE6255"/>
    <w:rsid w:val="00EE7893"/>
    <w:rsid w:val="00EE7BBD"/>
    <w:rsid w:val="00EF068A"/>
    <w:rsid w:val="00EF0B9E"/>
    <w:rsid w:val="00EF1167"/>
    <w:rsid w:val="00EF3733"/>
    <w:rsid w:val="00EF494A"/>
    <w:rsid w:val="00EF4B54"/>
    <w:rsid w:val="00EF4C5A"/>
    <w:rsid w:val="00EF5159"/>
    <w:rsid w:val="00EF5B7C"/>
    <w:rsid w:val="00EF5E7A"/>
    <w:rsid w:val="00EF664B"/>
    <w:rsid w:val="00EF693F"/>
    <w:rsid w:val="00F003A1"/>
    <w:rsid w:val="00F003DB"/>
    <w:rsid w:val="00F00FA3"/>
    <w:rsid w:val="00F05608"/>
    <w:rsid w:val="00F061DD"/>
    <w:rsid w:val="00F06286"/>
    <w:rsid w:val="00F0710B"/>
    <w:rsid w:val="00F125DE"/>
    <w:rsid w:val="00F130A3"/>
    <w:rsid w:val="00F146E8"/>
    <w:rsid w:val="00F15EBA"/>
    <w:rsid w:val="00F16416"/>
    <w:rsid w:val="00F16A31"/>
    <w:rsid w:val="00F16BBF"/>
    <w:rsid w:val="00F17353"/>
    <w:rsid w:val="00F175AD"/>
    <w:rsid w:val="00F17758"/>
    <w:rsid w:val="00F20108"/>
    <w:rsid w:val="00F20D2C"/>
    <w:rsid w:val="00F212CE"/>
    <w:rsid w:val="00F24793"/>
    <w:rsid w:val="00F25225"/>
    <w:rsid w:val="00F252E0"/>
    <w:rsid w:val="00F26736"/>
    <w:rsid w:val="00F26911"/>
    <w:rsid w:val="00F31034"/>
    <w:rsid w:val="00F31E29"/>
    <w:rsid w:val="00F330FF"/>
    <w:rsid w:val="00F34BA1"/>
    <w:rsid w:val="00F34C4F"/>
    <w:rsid w:val="00F4075A"/>
    <w:rsid w:val="00F4163F"/>
    <w:rsid w:val="00F41761"/>
    <w:rsid w:val="00F4268F"/>
    <w:rsid w:val="00F432B9"/>
    <w:rsid w:val="00F503DA"/>
    <w:rsid w:val="00F5054C"/>
    <w:rsid w:val="00F50846"/>
    <w:rsid w:val="00F523FF"/>
    <w:rsid w:val="00F544A8"/>
    <w:rsid w:val="00F557C1"/>
    <w:rsid w:val="00F56CA1"/>
    <w:rsid w:val="00F60EB3"/>
    <w:rsid w:val="00F62CCA"/>
    <w:rsid w:val="00F63432"/>
    <w:rsid w:val="00F63536"/>
    <w:rsid w:val="00F636B4"/>
    <w:rsid w:val="00F639F2"/>
    <w:rsid w:val="00F640BF"/>
    <w:rsid w:val="00F66C6D"/>
    <w:rsid w:val="00F718F9"/>
    <w:rsid w:val="00F71B87"/>
    <w:rsid w:val="00F726F1"/>
    <w:rsid w:val="00F7296A"/>
    <w:rsid w:val="00F72CCF"/>
    <w:rsid w:val="00F7346A"/>
    <w:rsid w:val="00F7423B"/>
    <w:rsid w:val="00F75736"/>
    <w:rsid w:val="00F759C1"/>
    <w:rsid w:val="00F75A5E"/>
    <w:rsid w:val="00F769D7"/>
    <w:rsid w:val="00F76A9F"/>
    <w:rsid w:val="00F800EB"/>
    <w:rsid w:val="00F809D9"/>
    <w:rsid w:val="00F81485"/>
    <w:rsid w:val="00F8162C"/>
    <w:rsid w:val="00F82041"/>
    <w:rsid w:val="00F8322E"/>
    <w:rsid w:val="00F851D4"/>
    <w:rsid w:val="00F85E20"/>
    <w:rsid w:val="00F8630F"/>
    <w:rsid w:val="00F879C4"/>
    <w:rsid w:val="00F9015D"/>
    <w:rsid w:val="00F91FF8"/>
    <w:rsid w:val="00F92321"/>
    <w:rsid w:val="00F93A0F"/>
    <w:rsid w:val="00F95AA4"/>
    <w:rsid w:val="00F963A8"/>
    <w:rsid w:val="00F96740"/>
    <w:rsid w:val="00F97110"/>
    <w:rsid w:val="00FA10B6"/>
    <w:rsid w:val="00FA19B0"/>
    <w:rsid w:val="00FA1A21"/>
    <w:rsid w:val="00FA26CD"/>
    <w:rsid w:val="00FA3B63"/>
    <w:rsid w:val="00FA454E"/>
    <w:rsid w:val="00FA5CAA"/>
    <w:rsid w:val="00FA7545"/>
    <w:rsid w:val="00FA765A"/>
    <w:rsid w:val="00FB011B"/>
    <w:rsid w:val="00FB01C3"/>
    <w:rsid w:val="00FB0297"/>
    <w:rsid w:val="00FB17FB"/>
    <w:rsid w:val="00FB1AD0"/>
    <w:rsid w:val="00FB1DD2"/>
    <w:rsid w:val="00FB23D0"/>
    <w:rsid w:val="00FB25F5"/>
    <w:rsid w:val="00FB2DB8"/>
    <w:rsid w:val="00FB3741"/>
    <w:rsid w:val="00FB4845"/>
    <w:rsid w:val="00FB5245"/>
    <w:rsid w:val="00FB57CB"/>
    <w:rsid w:val="00FB5D2E"/>
    <w:rsid w:val="00FB6F86"/>
    <w:rsid w:val="00FB7890"/>
    <w:rsid w:val="00FC13D4"/>
    <w:rsid w:val="00FC3EC7"/>
    <w:rsid w:val="00FC4809"/>
    <w:rsid w:val="00FC4C96"/>
    <w:rsid w:val="00FC5A5E"/>
    <w:rsid w:val="00FC5BF9"/>
    <w:rsid w:val="00FC6206"/>
    <w:rsid w:val="00FC67A0"/>
    <w:rsid w:val="00FC7943"/>
    <w:rsid w:val="00FC7D00"/>
    <w:rsid w:val="00FD2F54"/>
    <w:rsid w:val="00FD2F55"/>
    <w:rsid w:val="00FD56CF"/>
    <w:rsid w:val="00FD60B5"/>
    <w:rsid w:val="00FE0CF7"/>
    <w:rsid w:val="00FE387B"/>
    <w:rsid w:val="00FE3956"/>
    <w:rsid w:val="00FE6242"/>
    <w:rsid w:val="00FE7AB8"/>
    <w:rsid w:val="00FF058A"/>
    <w:rsid w:val="00FF138F"/>
    <w:rsid w:val="00FF4096"/>
    <w:rsid w:val="00FF4EF5"/>
    <w:rsid w:val="00FF5785"/>
    <w:rsid w:val="00FF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39"/>
  </w:style>
  <w:style w:type="paragraph" w:styleId="Heading1">
    <w:name w:val="heading 1"/>
    <w:basedOn w:val="Normal"/>
    <w:next w:val="Normal"/>
    <w:link w:val="Heading1Char"/>
    <w:uiPriority w:val="9"/>
    <w:qFormat/>
    <w:rsid w:val="004E0D39"/>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E0D39"/>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4E0D39"/>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4E0D39"/>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4E0D39"/>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4E0D3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E0D3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E0D3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E0D3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E0D39"/>
    <w:pPr>
      <w:spacing w:after="0" w:line="240" w:lineRule="auto"/>
    </w:pPr>
  </w:style>
  <w:style w:type="paragraph" w:styleId="Title">
    <w:name w:val="Title"/>
    <w:basedOn w:val="Normal"/>
    <w:next w:val="Normal"/>
    <w:link w:val="TitleChar"/>
    <w:uiPriority w:val="10"/>
    <w:qFormat/>
    <w:rsid w:val="004E0D39"/>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E0D39"/>
    <w:rPr>
      <w:smallCaps/>
      <w:sz w:val="52"/>
      <w:szCs w:val="52"/>
    </w:rPr>
  </w:style>
  <w:style w:type="character" w:styleId="Strong">
    <w:name w:val="Strong"/>
    <w:uiPriority w:val="22"/>
    <w:qFormat/>
    <w:rsid w:val="004E0D39"/>
    <w:rPr>
      <w:b/>
      <w:bCs/>
    </w:rPr>
  </w:style>
  <w:style w:type="character" w:customStyle="1" w:styleId="Heading1Char">
    <w:name w:val="Heading 1 Char"/>
    <w:basedOn w:val="DefaultParagraphFont"/>
    <w:link w:val="Heading1"/>
    <w:uiPriority w:val="9"/>
    <w:rsid w:val="004E0D39"/>
    <w:rPr>
      <w:smallCaps/>
      <w:spacing w:val="5"/>
      <w:sz w:val="36"/>
      <w:szCs w:val="36"/>
    </w:rPr>
  </w:style>
  <w:style w:type="character" w:customStyle="1" w:styleId="Heading2Char">
    <w:name w:val="Heading 2 Char"/>
    <w:basedOn w:val="DefaultParagraphFont"/>
    <w:link w:val="Heading2"/>
    <w:uiPriority w:val="9"/>
    <w:rsid w:val="004E0D39"/>
    <w:rPr>
      <w:smallCaps/>
      <w:sz w:val="28"/>
      <w:szCs w:val="28"/>
    </w:rPr>
  </w:style>
  <w:style w:type="character" w:customStyle="1" w:styleId="Heading3Char">
    <w:name w:val="Heading 3 Char"/>
    <w:basedOn w:val="DefaultParagraphFont"/>
    <w:link w:val="Heading3"/>
    <w:uiPriority w:val="9"/>
    <w:rsid w:val="004E0D39"/>
    <w:rPr>
      <w:i/>
      <w:iCs/>
      <w:smallCaps/>
      <w:spacing w:val="5"/>
      <w:sz w:val="26"/>
      <w:szCs w:val="26"/>
    </w:rPr>
  </w:style>
  <w:style w:type="character" w:customStyle="1" w:styleId="Heading4Char">
    <w:name w:val="Heading 4 Char"/>
    <w:basedOn w:val="DefaultParagraphFont"/>
    <w:link w:val="Heading4"/>
    <w:uiPriority w:val="9"/>
    <w:rsid w:val="004E0D39"/>
    <w:rPr>
      <w:b/>
      <w:bCs/>
      <w:spacing w:val="5"/>
      <w:sz w:val="24"/>
      <w:szCs w:val="24"/>
    </w:rPr>
  </w:style>
  <w:style w:type="character" w:customStyle="1" w:styleId="Heading5Char">
    <w:name w:val="Heading 5 Char"/>
    <w:basedOn w:val="DefaultParagraphFont"/>
    <w:link w:val="Heading5"/>
    <w:uiPriority w:val="9"/>
    <w:rsid w:val="004E0D39"/>
    <w:rPr>
      <w:i/>
      <w:iCs/>
      <w:sz w:val="24"/>
      <w:szCs w:val="24"/>
    </w:rPr>
  </w:style>
  <w:style w:type="character" w:customStyle="1" w:styleId="Heading6Char">
    <w:name w:val="Heading 6 Char"/>
    <w:basedOn w:val="DefaultParagraphFont"/>
    <w:link w:val="Heading6"/>
    <w:uiPriority w:val="9"/>
    <w:rsid w:val="004E0D3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E0D3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E0D39"/>
    <w:rPr>
      <w:b/>
      <w:bCs/>
      <w:color w:val="7F7F7F" w:themeColor="text1" w:themeTint="80"/>
      <w:sz w:val="20"/>
      <w:szCs w:val="20"/>
    </w:rPr>
  </w:style>
  <w:style w:type="character" w:customStyle="1" w:styleId="Heading9Char">
    <w:name w:val="Heading 9 Char"/>
    <w:basedOn w:val="DefaultParagraphFont"/>
    <w:link w:val="Heading9"/>
    <w:uiPriority w:val="9"/>
    <w:semiHidden/>
    <w:rsid w:val="004E0D39"/>
    <w:rPr>
      <w:b/>
      <w:bCs/>
      <w:i/>
      <w:iCs/>
      <w:color w:val="7F7F7F" w:themeColor="text1" w:themeTint="80"/>
      <w:sz w:val="18"/>
      <w:szCs w:val="18"/>
    </w:rPr>
  </w:style>
  <w:style w:type="paragraph" w:styleId="Caption">
    <w:name w:val="caption"/>
    <w:basedOn w:val="Normal"/>
    <w:next w:val="Normal"/>
    <w:uiPriority w:val="35"/>
    <w:semiHidden/>
    <w:unhideWhenUsed/>
    <w:rsid w:val="004E0D39"/>
    <w:rPr>
      <w:b/>
      <w:bCs/>
      <w:sz w:val="18"/>
      <w:szCs w:val="18"/>
    </w:rPr>
  </w:style>
  <w:style w:type="paragraph" w:styleId="Subtitle">
    <w:name w:val="Subtitle"/>
    <w:basedOn w:val="Normal"/>
    <w:next w:val="Normal"/>
    <w:link w:val="SubtitleChar"/>
    <w:uiPriority w:val="11"/>
    <w:qFormat/>
    <w:rsid w:val="004E0D39"/>
    <w:rPr>
      <w:i/>
      <w:iCs/>
      <w:smallCaps/>
      <w:spacing w:val="10"/>
      <w:sz w:val="28"/>
      <w:szCs w:val="28"/>
    </w:rPr>
  </w:style>
  <w:style w:type="character" w:customStyle="1" w:styleId="SubtitleChar">
    <w:name w:val="Subtitle Char"/>
    <w:basedOn w:val="DefaultParagraphFont"/>
    <w:link w:val="Subtitle"/>
    <w:uiPriority w:val="11"/>
    <w:rsid w:val="004E0D39"/>
    <w:rPr>
      <w:i/>
      <w:iCs/>
      <w:smallCaps/>
      <w:spacing w:val="10"/>
      <w:sz w:val="28"/>
      <w:szCs w:val="28"/>
    </w:rPr>
  </w:style>
  <w:style w:type="character" w:styleId="Emphasis">
    <w:name w:val="Emphasis"/>
    <w:uiPriority w:val="20"/>
    <w:qFormat/>
    <w:rsid w:val="004E0D39"/>
    <w:rPr>
      <w:b/>
      <w:bCs/>
      <w:i/>
      <w:iCs/>
      <w:spacing w:val="10"/>
    </w:rPr>
  </w:style>
  <w:style w:type="character" w:customStyle="1" w:styleId="NoSpacingChar">
    <w:name w:val="No Spacing Char"/>
    <w:basedOn w:val="DefaultParagraphFont"/>
    <w:link w:val="NoSpacing"/>
    <w:uiPriority w:val="1"/>
    <w:rsid w:val="004E0D39"/>
  </w:style>
  <w:style w:type="paragraph" w:styleId="ListParagraph">
    <w:name w:val="List Paragraph"/>
    <w:basedOn w:val="Normal"/>
    <w:uiPriority w:val="34"/>
    <w:qFormat/>
    <w:rsid w:val="004E0D39"/>
    <w:pPr>
      <w:ind w:left="720"/>
      <w:contextualSpacing/>
    </w:pPr>
  </w:style>
  <w:style w:type="paragraph" w:styleId="Quote">
    <w:name w:val="Quote"/>
    <w:basedOn w:val="Normal"/>
    <w:next w:val="Normal"/>
    <w:link w:val="QuoteChar"/>
    <w:uiPriority w:val="29"/>
    <w:qFormat/>
    <w:rsid w:val="004E0D39"/>
    <w:rPr>
      <w:i/>
      <w:iCs/>
    </w:rPr>
  </w:style>
  <w:style w:type="character" w:customStyle="1" w:styleId="QuoteChar">
    <w:name w:val="Quote Char"/>
    <w:basedOn w:val="DefaultParagraphFont"/>
    <w:link w:val="Quote"/>
    <w:uiPriority w:val="29"/>
    <w:rsid w:val="004E0D39"/>
    <w:rPr>
      <w:i/>
      <w:iCs/>
    </w:rPr>
  </w:style>
  <w:style w:type="paragraph" w:styleId="IntenseQuote">
    <w:name w:val="Intense Quote"/>
    <w:basedOn w:val="Normal"/>
    <w:next w:val="Normal"/>
    <w:link w:val="IntenseQuoteChar"/>
    <w:uiPriority w:val="30"/>
    <w:qFormat/>
    <w:rsid w:val="004E0D3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E0D39"/>
    <w:rPr>
      <w:i/>
      <w:iCs/>
    </w:rPr>
  </w:style>
  <w:style w:type="character" w:styleId="SubtleEmphasis">
    <w:name w:val="Subtle Emphasis"/>
    <w:uiPriority w:val="19"/>
    <w:qFormat/>
    <w:rsid w:val="004E0D39"/>
    <w:rPr>
      <w:i/>
      <w:iCs/>
    </w:rPr>
  </w:style>
  <w:style w:type="character" w:styleId="IntenseEmphasis">
    <w:name w:val="Intense Emphasis"/>
    <w:uiPriority w:val="21"/>
    <w:qFormat/>
    <w:rsid w:val="004E0D39"/>
    <w:rPr>
      <w:b/>
      <w:bCs/>
      <w:i/>
      <w:iCs/>
    </w:rPr>
  </w:style>
  <w:style w:type="character" w:styleId="SubtleReference">
    <w:name w:val="Subtle Reference"/>
    <w:basedOn w:val="DefaultParagraphFont"/>
    <w:uiPriority w:val="31"/>
    <w:qFormat/>
    <w:rsid w:val="004E0D39"/>
    <w:rPr>
      <w:smallCaps/>
    </w:rPr>
  </w:style>
  <w:style w:type="character" w:styleId="IntenseReference">
    <w:name w:val="Intense Reference"/>
    <w:uiPriority w:val="32"/>
    <w:qFormat/>
    <w:rsid w:val="004E0D39"/>
    <w:rPr>
      <w:b/>
      <w:bCs/>
      <w:smallCaps/>
    </w:rPr>
  </w:style>
  <w:style w:type="character" w:styleId="BookTitle">
    <w:name w:val="Book Title"/>
    <w:basedOn w:val="DefaultParagraphFont"/>
    <w:uiPriority w:val="33"/>
    <w:qFormat/>
    <w:rsid w:val="004E0D39"/>
    <w:rPr>
      <w:i/>
      <w:iCs/>
      <w:smallCaps/>
      <w:spacing w:val="5"/>
    </w:rPr>
  </w:style>
  <w:style w:type="paragraph" w:styleId="TOCHeading">
    <w:name w:val="TOC Heading"/>
    <w:basedOn w:val="Heading1"/>
    <w:next w:val="Normal"/>
    <w:uiPriority w:val="39"/>
    <w:semiHidden/>
    <w:unhideWhenUsed/>
    <w:qFormat/>
    <w:rsid w:val="004E0D39"/>
    <w:pPr>
      <w:outlineLvl w:val="9"/>
    </w:pPr>
    <w:rPr>
      <w:lang w:bidi="en-US"/>
    </w:rPr>
  </w:style>
  <w:style w:type="paragraph" w:styleId="Header">
    <w:name w:val="header"/>
    <w:basedOn w:val="Normal"/>
    <w:link w:val="HeaderChar"/>
    <w:uiPriority w:val="99"/>
    <w:unhideWhenUsed/>
    <w:rsid w:val="003B3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209"/>
  </w:style>
  <w:style w:type="paragraph" w:styleId="Footer">
    <w:name w:val="footer"/>
    <w:basedOn w:val="Normal"/>
    <w:link w:val="FooterChar"/>
    <w:uiPriority w:val="99"/>
    <w:unhideWhenUsed/>
    <w:rsid w:val="003B3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209"/>
  </w:style>
  <w:style w:type="character" w:styleId="Hyperlink">
    <w:name w:val="Hyperlink"/>
    <w:uiPriority w:val="99"/>
    <w:unhideWhenUsed/>
    <w:rsid w:val="00234941"/>
    <w:rPr>
      <w:color w:val="0000FF"/>
      <w:u w:val="single"/>
    </w:rPr>
  </w:style>
  <w:style w:type="paragraph" w:customStyle="1" w:styleId="Default">
    <w:name w:val="Default"/>
    <w:rsid w:val="005D10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D1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2FE"/>
    <w:rPr>
      <w:rFonts w:ascii="Tahoma" w:hAnsi="Tahoma" w:cs="Tahoma"/>
      <w:sz w:val="16"/>
      <w:szCs w:val="16"/>
    </w:rPr>
  </w:style>
  <w:style w:type="paragraph" w:styleId="BodyText2">
    <w:name w:val="Body Text 2"/>
    <w:basedOn w:val="Normal"/>
    <w:link w:val="BodyText2Char"/>
    <w:rsid w:val="00AD6D15"/>
    <w:pPr>
      <w:tabs>
        <w:tab w:val="left" w:pos="9360"/>
      </w:tabs>
      <w:spacing w:after="0" w:line="240" w:lineRule="auto"/>
      <w:jc w:val="both"/>
    </w:pPr>
    <w:rPr>
      <w:rFonts w:ascii="Bookman Old Style Bold" w:eastAsia="Times" w:hAnsi="Bookman Old Style Bold" w:cs="Times New Roman"/>
      <w:szCs w:val="20"/>
    </w:rPr>
  </w:style>
  <w:style w:type="character" w:customStyle="1" w:styleId="BodyText2Char">
    <w:name w:val="Body Text 2 Char"/>
    <w:basedOn w:val="DefaultParagraphFont"/>
    <w:link w:val="BodyText2"/>
    <w:rsid w:val="00AD6D15"/>
    <w:rPr>
      <w:rFonts w:ascii="Bookman Old Style Bold" w:eastAsia="Times" w:hAnsi="Bookman Old Style Bold" w:cs="Times New Roman"/>
      <w:szCs w:val="20"/>
    </w:rPr>
  </w:style>
  <w:style w:type="paragraph" w:styleId="NormalWeb">
    <w:name w:val="Normal (Web)"/>
    <w:basedOn w:val="Normal"/>
    <w:uiPriority w:val="99"/>
    <w:unhideWhenUsed/>
    <w:rsid w:val="00F91F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7A33"/>
  </w:style>
  <w:style w:type="paragraph" w:styleId="BodyText">
    <w:name w:val="Body Text"/>
    <w:basedOn w:val="Normal"/>
    <w:link w:val="BodyTextChar"/>
    <w:uiPriority w:val="99"/>
    <w:semiHidden/>
    <w:unhideWhenUsed/>
    <w:rsid w:val="008F0E0D"/>
    <w:pPr>
      <w:spacing w:after="120"/>
    </w:pPr>
  </w:style>
  <w:style w:type="character" w:customStyle="1" w:styleId="BodyTextChar">
    <w:name w:val="Body Text Char"/>
    <w:basedOn w:val="DefaultParagraphFont"/>
    <w:link w:val="BodyText"/>
    <w:uiPriority w:val="99"/>
    <w:semiHidden/>
    <w:rsid w:val="008F0E0D"/>
  </w:style>
  <w:style w:type="paragraph" w:styleId="BodyText3">
    <w:name w:val="Body Text 3"/>
    <w:basedOn w:val="Normal"/>
    <w:link w:val="BodyText3Char"/>
    <w:uiPriority w:val="99"/>
    <w:semiHidden/>
    <w:unhideWhenUsed/>
    <w:rsid w:val="008F0E0D"/>
    <w:pPr>
      <w:spacing w:after="120"/>
    </w:pPr>
    <w:rPr>
      <w:sz w:val="16"/>
      <w:szCs w:val="16"/>
    </w:rPr>
  </w:style>
  <w:style w:type="character" w:customStyle="1" w:styleId="BodyText3Char">
    <w:name w:val="Body Text 3 Char"/>
    <w:basedOn w:val="DefaultParagraphFont"/>
    <w:link w:val="BodyText3"/>
    <w:uiPriority w:val="99"/>
    <w:semiHidden/>
    <w:rsid w:val="008F0E0D"/>
    <w:rPr>
      <w:sz w:val="16"/>
      <w:szCs w:val="16"/>
    </w:rPr>
  </w:style>
  <w:style w:type="paragraph" w:customStyle="1" w:styleId="style38">
    <w:name w:val="style38"/>
    <w:basedOn w:val="Normal"/>
    <w:rsid w:val="00E6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DefaultParagraphFont"/>
    <w:rsid w:val="00E666F0"/>
  </w:style>
  <w:style w:type="paragraph" w:customStyle="1" w:styleId="style30">
    <w:name w:val="style30"/>
    <w:basedOn w:val="Normal"/>
    <w:rsid w:val="00E6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81">
    <w:name w:val="style381"/>
    <w:basedOn w:val="DefaultParagraphFont"/>
    <w:rsid w:val="00E666F0"/>
  </w:style>
  <w:style w:type="paragraph" w:customStyle="1" w:styleId="Header1">
    <w:name w:val="Header1"/>
    <w:basedOn w:val="Normal"/>
    <w:rsid w:val="00E666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7">
    <w:name w:val="style37"/>
    <w:basedOn w:val="Normal"/>
    <w:rsid w:val="00E6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6">
    <w:name w:val="style76"/>
    <w:basedOn w:val="DefaultParagraphFont"/>
    <w:rsid w:val="00D82F04"/>
  </w:style>
  <w:style w:type="character" w:styleId="CommentReference">
    <w:name w:val="annotation reference"/>
    <w:basedOn w:val="DefaultParagraphFont"/>
    <w:uiPriority w:val="99"/>
    <w:semiHidden/>
    <w:unhideWhenUsed/>
    <w:rsid w:val="00076029"/>
    <w:rPr>
      <w:sz w:val="16"/>
      <w:szCs w:val="16"/>
    </w:rPr>
  </w:style>
  <w:style w:type="paragraph" w:styleId="CommentText">
    <w:name w:val="annotation text"/>
    <w:basedOn w:val="Normal"/>
    <w:link w:val="CommentTextChar"/>
    <w:uiPriority w:val="99"/>
    <w:semiHidden/>
    <w:unhideWhenUsed/>
    <w:rsid w:val="00076029"/>
    <w:pPr>
      <w:spacing w:line="240" w:lineRule="auto"/>
    </w:pPr>
    <w:rPr>
      <w:sz w:val="20"/>
      <w:szCs w:val="20"/>
    </w:rPr>
  </w:style>
  <w:style w:type="character" w:customStyle="1" w:styleId="CommentTextChar">
    <w:name w:val="Comment Text Char"/>
    <w:basedOn w:val="DefaultParagraphFont"/>
    <w:link w:val="CommentText"/>
    <w:uiPriority w:val="99"/>
    <w:semiHidden/>
    <w:rsid w:val="00076029"/>
    <w:rPr>
      <w:sz w:val="20"/>
      <w:szCs w:val="20"/>
    </w:rPr>
  </w:style>
  <w:style w:type="paragraph" w:styleId="CommentSubject">
    <w:name w:val="annotation subject"/>
    <w:basedOn w:val="CommentText"/>
    <w:next w:val="CommentText"/>
    <w:link w:val="CommentSubjectChar"/>
    <w:uiPriority w:val="99"/>
    <w:semiHidden/>
    <w:unhideWhenUsed/>
    <w:rsid w:val="00076029"/>
    <w:rPr>
      <w:b/>
      <w:bCs/>
    </w:rPr>
  </w:style>
  <w:style w:type="character" w:customStyle="1" w:styleId="CommentSubjectChar">
    <w:name w:val="Comment Subject Char"/>
    <w:basedOn w:val="CommentTextChar"/>
    <w:link w:val="CommentSubject"/>
    <w:uiPriority w:val="99"/>
    <w:semiHidden/>
    <w:rsid w:val="00076029"/>
    <w:rPr>
      <w:b/>
      <w:bCs/>
      <w:sz w:val="20"/>
      <w:szCs w:val="20"/>
    </w:rPr>
  </w:style>
  <w:style w:type="paragraph" w:styleId="FootnoteText">
    <w:name w:val="footnote text"/>
    <w:basedOn w:val="Normal"/>
    <w:link w:val="FootnoteTextChar"/>
    <w:uiPriority w:val="99"/>
    <w:semiHidden/>
    <w:unhideWhenUsed/>
    <w:rsid w:val="000148C6"/>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0148C6"/>
    <w:rPr>
      <w:rFonts w:asciiTheme="minorHAnsi" w:eastAsiaTheme="minorEastAsia" w:hAnsiTheme="minorHAnsi" w:cstheme="minorBidi"/>
      <w:sz w:val="20"/>
      <w:szCs w:val="20"/>
    </w:rPr>
  </w:style>
  <w:style w:type="character" w:styleId="FootnoteReference">
    <w:name w:val="footnote reference"/>
    <w:basedOn w:val="DefaultParagraphFont"/>
    <w:uiPriority w:val="99"/>
    <w:semiHidden/>
    <w:unhideWhenUsed/>
    <w:rsid w:val="000148C6"/>
    <w:rPr>
      <w:vertAlign w:val="superscript"/>
    </w:rPr>
  </w:style>
  <w:style w:type="character" w:customStyle="1" w:styleId="spelle">
    <w:name w:val="spelle"/>
    <w:basedOn w:val="DefaultParagraphFont"/>
    <w:rsid w:val="006B3216"/>
  </w:style>
  <w:style w:type="character" w:customStyle="1" w:styleId="msonormal0">
    <w:name w:val="msonormal"/>
    <w:basedOn w:val="DefaultParagraphFont"/>
    <w:rsid w:val="006B3216"/>
  </w:style>
  <w:style w:type="paragraph" w:customStyle="1" w:styleId="cm22">
    <w:name w:val="cm22"/>
    <w:basedOn w:val="Normal"/>
    <w:rsid w:val="006B321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35A0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690BC0"/>
    <w:rPr>
      <w:rFonts w:cs="Minion Pro"/>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39"/>
  </w:style>
  <w:style w:type="paragraph" w:styleId="Heading1">
    <w:name w:val="heading 1"/>
    <w:basedOn w:val="Normal"/>
    <w:next w:val="Normal"/>
    <w:link w:val="Heading1Char"/>
    <w:uiPriority w:val="9"/>
    <w:qFormat/>
    <w:rsid w:val="004E0D39"/>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E0D39"/>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4E0D39"/>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4E0D39"/>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4E0D39"/>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4E0D3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E0D3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E0D3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E0D3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E0D39"/>
    <w:pPr>
      <w:spacing w:after="0" w:line="240" w:lineRule="auto"/>
    </w:pPr>
  </w:style>
  <w:style w:type="paragraph" w:styleId="Title">
    <w:name w:val="Title"/>
    <w:basedOn w:val="Normal"/>
    <w:next w:val="Normal"/>
    <w:link w:val="TitleChar"/>
    <w:uiPriority w:val="10"/>
    <w:qFormat/>
    <w:rsid w:val="004E0D39"/>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E0D39"/>
    <w:rPr>
      <w:smallCaps/>
      <w:sz w:val="52"/>
      <w:szCs w:val="52"/>
    </w:rPr>
  </w:style>
  <w:style w:type="character" w:styleId="Strong">
    <w:name w:val="Strong"/>
    <w:uiPriority w:val="22"/>
    <w:qFormat/>
    <w:rsid w:val="004E0D39"/>
    <w:rPr>
      <w:b/>
      <w:bCs/>
    </w:rPr>
  </w:style>
  <w:style w:type="character" w:customStyle="1" w:styleId="Heading1Char">
    <w:name w:val="Heading 1 Char"/>
    <w:basedOn w:val="DefaultParagraphFont"/>
    <w:link w:val="Heading1"/>
    <w:uiPriority w:val="9"/>
    <w:rsid w:val="004E0D39"/>
    <w:rPr>
      <w:smallCaps/>
      <w:spacing w:val="5"/>
      <w:sz w:val="36"/>
      <w:szCs w:val="36"/>
    </w:rPr>
  </w:style>
  <w:style w:type="character" w:customStyle="1" w:styleId="Heading2Char">
    <w:name w:val="Heading 2 Char"/>
    <w:basedOn w:val="DefaultParagraphFont"/>
    <w:link w:val="Heading2"/>
    <w:uiPriority w:val="9"/>
    <w:rsid w:val="004E0D39"/>
    <w:rPr>
      <w:smallCaps/>
      <w:sz w:val="28"/>
      <w:szCs w:val="28"/>
    </w:rPr>
  </w:style>
  <w:style w:type="character" w:customStyle="1" w:styleId="Heading3Char">
    <w:name w:val="Heading 3 Char"/>
    <w:basedOn w:val="DefaultParagraphFont"/>
    <w:link w:val="Heading3"/>
    <w:uiPriority w:val="9"/>
    <w:rsid w:val="004E0D39"/>
    <w:rPr>
      <w:i/>
      <w:iCs/>
      <w:smallCaps/>
      <w:spacing w:val="5"/>
      <w:sz w:val="26"/>
      <w:szCs w:val="26"/>
    </w:rPr>
  </w:style>
  <w:style w:type="character" w:customStyle="1" w:styleId="Heading4Char">
    <w:name w:val="Heading 4 Char"/>
    <w:basedOn w:val="DefaultParagraphFont"/>
    <w:link w:val="Heading4"/>
    <w:uiPriority w:val="9"/>
    <w:rsid w:val="004E0D39"/>
    <w:rPr>
      <w:b/>
      <w:bCs/>
      <w:spacing w:val="5"/>
      <w:sz w:val="24"/>
      <w:szCs w:val="24"/>
    </w:rPr>
  </w:style>
  <w:style w:type="character" w:customStyle="1" w:styleId="Heading5Char">
    <w:name w:val="Heading 5 Char"/>
    <w:basedOn w:val="DefaultParagraphFont"/>
    <w:link w:val="Heading5"/>
    <w:uiPriority w:val="9"/>
    <w:rsid w:val="004E0D39"/>
    <w:rPr>
      <w:i/>
      <w:iCs/>
      <w:sz w:val="24"/>
      <w:szCs w:val="24"/>
    </w:rPr>
  </w:style>
  <w:style w:type="character" w:customStyle="1" w:styleId="Heading6Char">
    <w:name w:val="Heading 6 Char"/>
    <w:basedOn w:val="DefaultParagraphFont"/>
    <w:link w:val="Heading6"/>
    <w:uiPriority w:val="9"/>
    <w:rsid w:val="004E0D3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E0D3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E0D39"/>
    <w:rPr>
      <w:b/>
      <w:bCs/>
      <w:color w:val="7F7F7F" w:themeColor="text1" w:themeTint="80"/>
      <w:sz w:val="20"/>
      <w:szCs w:val="20"/>
    </w:rPr>
  </w:style>
  <w:style w:type="character" w:customStyle="1" w:styleId="Heading9Char">
    <w:name w:val="Heading 9 Char"/>
    <w:basedOn w:val="DefaultParagraphFont"/>
    <w:link w:val="Heading9"/>
    <w:uiPriority w:val="9"/>
    <w:semiHidden/>
    <w:rsid w:val="004E0D39"/>
    <w:rPr>
      <w:b/>
      <w:bCs/>
      <w:i/>
      <w:iCs/>
      <w:color w:val="7F7F7F" w:themeColor="text1" w:themeTint="80"/>
      <w:sz w:val="18"/>
      <w:szCs w:val="18"/>
    </w:rPr>
  </w:style>
  <w:style w:type="paragraph" w:styleId="Caption">
    <w:name w:val="caption"/>
    <w:basedOn w:val="Normal"/>
    <w:next w:val="Normal"/>
    <w:uiPriority w:val="35"/>
    <w:semiHidden/>
    <w:unhideWhenUsed/>
    <w:rsid w:val="004E0D39"/>
    <w:rPr>
      <w:b/>
      <w:bCs/>
      <w:sz w:val="18"/>
      <w:szCs w:val="18"/>
    </w:rPr>
  </w:style>
  <w:style w:type="paragraph" w:styleId="Subtitle">
    <w:name w:val="Subtitle"/>
    <w:basedOn w:val="Normal"/>
    <w:next w:val="Normal"/>
    <w:link w:val="SubtitleChar"/>
    <w:uiPriority w:val="11"/>
    <w:qFormat/>
    <w:rsid w:val="004E0D39"/>
    <w:rPr>
      <w:i/>
      <w:iCs/>
      <w:smallCaps/>
      <w:spacing w:val="10"/>
      <w:sz w:val="28"/>
      <w:szCs w:val="28"/>
    </w:rPr>
  </w:style>
  <w:style w:type="character" w:customStyle="1" w:styleId="SubtitleChar">
    <w:name w:val="Subtitle Char"/>
    <w:basedOn w:val="DefaultParagraphFont"/>
    <w:link w:val="Subtitle"/>
    <w:uiPriority w:val="11"/>
    <w:rsid w:val="004E0D39"/>
    <w:rPr>
      <w:i/>
      <w:iCs/>
      <w:smallCaps/>
      <w:spacing w:val="10"/>
      <w:sz w:val="28"/>
      <w:szCs w:val="28"/>
    </w:rPr>
  </w:style>
  <w:style w:type="character" w:styleId="Emphasis">
    <w:name w:val="Emphasis"/>
    <w:uiPriority w:val="20"/>
    <w:qFormat/>
    <w:rsid w:val="004E0D39"/>
    <w:rPr>
      <w:b/>
      <w:bCs/>
      <w:i/>
      <w:iCs/>
      <w:spacing w:val="10"/>
    </w:rPr>
  </w:style>
  <w:style w:type="character" w:customStyle="1" w:styleId="NoSpacingChar">
    <w:name w:val="No Spacing Char"/>
    <w:basedOn w:val="DefaultParagraphFont"/>
    <w:link w:val="NoSpacing"/>
    <w:uiPriority w:val="1"/>
    <w:rsid w:val="004E0D39"/>
  </w:style>
  <w:style w:type="paragraph" w:styleId="ListParagraph">
    <w:name w:val="List Paragraph"/>
    <w:basedOn w:val="Normal"/>
    <w:uiPriority w:val="34"/>
    <w:qFormat/>
    <w:rsid w:val="004E0D39"/>
    <w:pPr>
      <w:ind w:left="720"/>
      <w:contextualSpacing/>
    </w:pPr>
  </w:style>
  <w:style w:type="paragraph" w:styleId="Quote">
    <w:name w:val="Quote"/>
    <w:basedOn w:val="Normal"/>
    <w:next w:val="Normal"/>
    <w:link w:val="QuoteChar"/>
    <w:uiPriority w:val="29"/>
    <w:qFormat/>
    <w:rsid w:val="004E0D39"/>
    <w:rPr>
      <w:i/>
      <w:iCs/>
    </w:rPr>
  </w:style>
  <w:style w:type="character" w:customStyle="1" w:styleId="QuoteChar">
    <w:name w:val="Quote Char"/>
    <w:basedOn w:val="DefaultParagraphFont"/>
    <w:link w:val="Quote"/>
    <w:uiPriority w:val="29"/>
    <w:rsid w:val="004E0D39"/>
    <w:rPr>
      <w:i/>
      <w:iCs/>
    </w:rPr>
  </w:style>
  <w:style w:type="paragraph" w:styleId="IntenseQuote">
    <w:name w:val="Intense Quote"/>
    <w:basedOn w:val="Normal"/>
    <w:next w:val="Normal"/>
    <w:link w:val="IntenseQuoteChar"/>
    <w:uiPriority w:val="30"/>
    <w:qFormat/>
    <w:rsid w:val="004E0D3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E0D39"/>
    <w:rPr>
      <w:i/>
      <w:iCs/>
    </w:rPr>
  </w:style>
  <w:style w:type="character" w:styleId="SubtleEmphasis">
    <w:name w:val="Subtle Emphasis"/>
    <w:uiPriority w:val="19"/>
    <w:qFormat/>
    <w:rsid w:val="004E0D39"/>
    <w:rPr>
      <w:i/>
      <w:iCs/>
    </w:rPr>
  </w:style>
  <w:style w:type="character" w:styleId="IntenseEmphasis">
    <w:name w:val="Intense Emphasis"/>
    <w:uiPriority w:val="21"/>
    <w:qFormat/>
    <w:rsid w:val="004E0D39"/>
    <w:rPr>
      <w:b/>
      <w:bCs/>
      <w:i/>
      <w:iCs/>
    </w:rPr>
  </w:style>
  <w:style w:type="character" w:styleId="SubtleReference">
    <w:name w:val="Subtle Reference"/>
    <w:basedOn w:val="DefaultParagraphFont"/>
    <w:uiPriority w:val="31"/>
    <w:qFormat/>
    <w:rsid w:val="004E0D39"/>
    <w:rPr>
      <w:smallCaps/>
    </w:rPr>
  </w:style>
  <w:style w:type="character" w:styleId="IntenseReference">
    <w:name w:val="Intense Reference"/>
    <w:uiPriority w:val="32"/>
    <w:qFormat/>
    <w:rsid w:val="004E0D39"/>
    <w:rPr>
      <w:b/>
      <w:bCs/>
      <w:smallCaps/>
    </w:rPr>
  </w:style>
  <w:style w:type="character" w:styleId="BookTitle">
    <w:name w:val="Book Title"/>
    <w:basedOn w:val="DefaultParagraphFont"/>
    <w:uiPriority w:val="33"/>
    <w:qFormat/>
    <w:rsid w:val="004E0D39"/>
    <w:rPr>
      <w:i/>
      <w:iCs/>
      <w:smallCaps/>
      <w:spacing w:val="5"/>
    </w:rPr>
  </w:style>
  <w:style w:type="paragraph" w:styleId="TOCHeading">
    <w:name w:val="TOC Heading"/>
    <w:basedOn w:val="Heading1"/>
    <w:next w:val="Normal"/>
    <w:uiPriority w:val="39"/>
    <w:semiHidden/>
    <w:unhideWhenUsed/>
    <w:qFormat/>
    <w:rsid w:val="004E0D39"/>
    <w:pPr>
      <w:outlineLvl w:val="9"/>
    </w:pPr>
    <w:rPr>
      <w:lang w:bidi="en-US"/>
    </w:rPr>
  </w:style>
  <w:style w:type="paragraph" w:styleId="Header">
    <w:name w:val="header"/>
    <w:basedOn w:val="Normal"/>
    <w:link w:val="HeaderChar"/>
    <w:uiPriority w:val="99"/>
    <w:unhideWhenUsed/>
    <w:rsid w:val="003B3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209"/>
  </w:style>
  <w:style w:type="paragraph" w:styleId="Footer">
    <w:name w:val="footer"/>
    <w:basedOn w:val="Normal"/>
    <w:link w:val="FooterChar"/>
    <w:uiPriority w:val="99"/>
    <w:unhideWhenUsed/>
    <w:rsid w:val="003B3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209"/>
  </w:style>
  <w:style w:type="character" w:styleId="Hyperlink">
    <w:name w:val="Hyperlink"/>
    <w:uiPriority w:val="99"/>
    <w:unhideWhenUsed/>
    <w:rsid w:val="00234941"/>
    <w:rPr>
      <w:color w:val="0000FF"/>
      <w:u w:val="single"/>
    </w:rPr>
  </w:style>
  <w:style w:type="paragraph" w:customStyle="1" w:styleId="Default">
    <w:name w:val="Default"/>
    <w:rsid w:val="005D10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D1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2FE"/>
    <w:rPr>
      <w:rFonts w:ascii="Tahoma" w:hAnsi="Tahoma" w:cs="Tahoma"/>
      <w:sz w:val="16"/>
      <w:szCs w:val="16"/>
    </w:rPr>
  </w:style>
  <w:style w:type="paragraph" w:styleId="BodyText2">
    <w:name w:val="Body Text 2"/>
    <w:basedOn w:val="Normal"/>
    <w:link w:val="BodyText2Char"/>
    <w:rsid w:val="00AD6D15"/>
    <w:pPr>
      <w:tabs>
        <w:tab w:val="left" w:pos="9360"/>
      </w:tabs>
      <w:spacing w:after="0" w:line="240" w:lineRule="auto"/>
      <w:jc w:val="both"/>
    </w:pPr>
    <w:rPr>
      <w:rFonts w:ascii="Bookman Old Style Bold" w:eastAsia="Times" w:hAnsi="Bookman Old Style Bold" w:cs="Times New Roman"/>
      <w:szCs w:val="20"/>
    </w:rPr>
  </w:style>
  <w:style w:type="character" w:customStyle="1" w:styleId="BodyText2Char">
    <w:name w:val="Body Text 2 Char"/>
    <w:basedOn w:val="DefaultParagraphFont"/>
    <w:link w:val="BodyText2"/>
    <w:rsid w:val="00AD6D15"/>
    <w:rPr>
      <w:rFonts w:ascii="Bookman Old Style Bold" w:eastAsia="Times" w:hAnsi="Bookman Old Style Bold" w:cs="Times New Roman"/>
      <w:szCs w:val="20"/>
    </w:rPr>
  </w:style>
  <w:style w:type="paragraph" w:styleId="NormalWeb">
    <w:name w:val="Normal (Web)"/>
    <w:basedOn w:val="Normal"/>
    <w:uiPriority w:val="99"/>
    <w:unhideWhenUsed/>
    <w:rsid w:val="00F91F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7A33"/>
  </w:style>
  <w:style w:type="paragraph" w:styleId="BodyText">
    <w:name w:val="Body Text"/>
    <w:basedOn w:val="Normal"/>
    <w:link w:val="BodyTextChar"/>
    <w:uiPriority w:val="99"/>
    <w:semiHidden/>
    <w:unhideWhenUsed/>
    <w:rsid w:val="008F0E0D"/>
    <w:pPr>
      <w:spacing w:after="120"/>
    </w:pPr>
  </w:style>
  <w:style w:type="character" w:customStyle="1" w:styleId="BodyTextChar">
    <w:name w:val="Body Text Char"/>
    <w:basedOn w:val="DefaultParagraphFont"/>
    <w:link w:val="BodyText"/>
    <w:uiPriority w:val="99"/>
    <w:semiHidden/>
    <w:rsid w:val="008F0E0D"/>
  </w:style>
  <w:style w:type="paragraph" w:styleId="BodyText3">
    <w:name w:val="Body Text 3"/>
    <w:basedOn w:val="Normal"/>
    <w:link w:val="BodyText3Char"/>
    <w:uiPriority w:val="99"/>
    <w:semiHidden/>
    <w:unhideWhenUsed/>
    <w:rsid w:val="008F0E0D"/>
    <w:pPr>
      <w:spacing w:after="120"/>
    </w:pPr>
    <w:rPr>
      <w:sz w:val="16"/>
      <w:szCs w:val="16"/>
    </w:rPr>
  </w:style>
  <w:style w:type="character" w:customStyle="1" w:styleId="BodyText3Char">
    <w:name w:val="Body Text 3 Char"/>
    <w:basedOn w:val="DefaultParagraphFont"/>
    <w:link w:val="BodyText3"/>
    <w:uiPriority w:val="99"/>
    <w:semiHidden/>
    <w:rsid w:val="008F0E0D"/>
    <w:rPr>
      <w:sz w:val="16"/>
      <w:szCs w:val="16"/>
    </w:rPr>
  </w:style>
  <w:style w:type="paragraph" w:customStyle="1" w:styleId="style38">
    <w:name w:val="style38"/>
    <w:basedOn w:val="Normal"/>
    <w:rsid w:val="00E6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DefaultParagraphFont"/>
    <w:rsid w:val="00E666F0"/>
  </w:style>
  <w:style w:type="paragraph" w:customStyle="1" w:styleId="style30">
    <w:name w:val="style30"/>
    <w:basedOn w:val="Normal"/>
    <w:rsid w:val="00E6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81">
    <w:name w:val="style381"/>
    <w:basedOn w:val="DefaultParagraphFont"/>
    <w:rsid w:val="00E666F0"/>
  </w:style>
  <w:style w:type="paragraph" w:customStyle="1" w:styleId="Header1">
    <w:name w:val="Header1"/>
    <w:basedOn w:val="Normal"/>
    <w:rsid w:val="00E666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7">
    <w:name w:val="style37"/>
    <w:basedOn w:val="Normal"/>
    <w:rsid w:val="00E6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6">
    <w:name w:val="style76"/>
    <w:basedOn w:val="DefaultParagraphFont"/>
    <w:rsid w:val="00D82F04"/>
  </w:style>
  <w:style w:type="character" w:styleId="CommentReference">
    <w:name w:val="annotation reference"/>
    <w:basedOn w:val="DefaultParagraphFont"/>
    <w:uiPriority w:val="99"/>
    <w:semiHidden/>
    <w:unhideWhenUsed/>
    <w:rsid w:val="00076029"/>
    <w:rPr>
      <w:sz w:val="16"/>
      <w:szCs w:val="16"/>
    </w:rPr>
  </w:style>
  <w:style w:type="paragraph" w:styleId="CommentText">
    <w:name w:val="annotation text"/>
    <w:basedOn w:val="Normal"/>
    <w:link w:val="CommentTextChar"/>
    <w:uiPriority w:val="99"/>
    <w:semiHidden/>
    <w:unhideWhenUsed/>
    <w:rsid w:val="00076029"/>
    <w:pPr>
      <w:spacing w:line="240" w:lineRule="auto"/>
    </w:pPr>
    <w:rPr>
      <w:sz w:val="20"/>
      <w:szCs w:val="20"/>
    </w:rPr>
  </w:style>
  <w:style w:type="character" w:customStyle="1" w:styleId="CommentTextChar">
    <w:name w:val="Comment Text Char"/>
    <w:basedOn w:val="DefaultParagraphFont"/>
    <w:link w:val="CommentText"/>
    <w:uiPriority w:val="99"/>
    <w:semiHidden/>
    <w:rsid w:val="00076029"/>
    <w:rPr>
      <w:sz w:val="20"/>
      <w:szCs w:val="20"/>
    </w:rPr>
  </w:style>
  <w:style w:type="paragraph" w:styleId="CommentSubject">
    <w:name w:val="annotation subject"/>
    <w:basedOn w:val="CommentText"/>
    <w:next w:val="CommentText"/>
    <w:link w:val="CommentSubjectChar"/>
    <w:uiPriority w:val="99"/>
    <w:semiHidden/>
    <w:unhideWhenUsed/>
    <w:rsid w:val="00076029"/>
    <w:rPr>
      <w:b/>
      <w:bCs/>
    </w:rPr>
  </w:style>
  <w:style w:type="character" w:customStyle="1" w:styleId="CommentSubjectChar">
    <w:name w:val="Comment Subject Char"/>
    <w:basedOn w:val="CommentTextChar"/>
    <w:link w:val="CommentSubject"/>
    <w:uiPriority w:val="99"/>
    <w:semiHidden/>
    <w:rsid w:val="00076029"/>
    <w:rPr>
      <w:b/>
      <w:bCs/>
      <w:sz w:val="20"/>
      <w:szCs w:val="20"/>
    </w:rPr>
  </w:style>
  <w:style w:type="paragraph" w:styleId="FootnoteText">
    <w:name w:val="footnote text"/>
    <w:basedOn w:val="Normal"/>
    <w:link w:val="FootnoteTextChar"/>
    <w:uiPriority w:val="99"/>
    <w:semiHidden/>
    <w:unhideWhenUsed/>
    <w:rsid w:val="000148C6"/>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0148C6"/>
    <w:rPr>
      <w:rFonts w:asciiTheme="minorHAnsi" w:eastAsiaTheme="minorEastAsia" w:hAnsiTheme="minorHAnsi" w:cstheme="minorBidi"/>
      <w:sz w:val="20"/>
      <w:szCs w:val="20"/>
    </w:rPr>
  </w:style>
  <w:style w:type="character" w:styleId="FootnoteReference">
    <w:name w:val="footnote reference"/>
    <w:basedOn w:val="DefaultParagraphFont"/>
    <w:uiPriority w:val="99"/>
    <w:semiHidden/>
    <w:unhideWhenUsed/>
    <w:rsid w:val="000148C6"/>
    <w:rPr>
      <w:vertAlign w:val="superscript"/>
    </w:rPr>
  </w:style>
  <w:style w:type="character" w:customStyle="1" w:styleId="spelle">
    <w:name w:val="spelle"/>
    <w:basedOn w:val="DefaultParagraphFont"/>
    <w:rsid w:val="006B3216"/>
  </w:style>
  <w:style w:type="character" w:customStyle="1" w:styleId="msonormal0">
    <w:name w:val="msonormal"/>
    <w:basedOn w:val="DefaultParagraphFont"/>
    <w:rsid w:val="006B3216"/>
  </w:style>
  <w:style w:type="paragraph" w:customStyle="1" w:styleId="cm22">
    <w:name w:val="cm22"/>
    <w:basedOn w:val="Normal"/>
    <w:rsid w:val="006B321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35A0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690BC0"/>
    <w:rPr>
      <w:rFonts w:cs="Minion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7979">
      <w:bodyDiv w:val="1"/>
      <w:marLeft w:val="0"/>
      <w:marRight w:val="0"/>
      <w:marTop w:val="0"/>
      <w:marBottom w:val="0"/>
      <w:divBdr>
        <w:top w:val="none" w:sz="0" w:space="0" w:color="auto"/>
        <w:left w:val="none" w:sz="0" w:space="0" w:color="auto"/>
        <w:bottom w:val="none" w:sz="0" w:space="0" w:color="auto"/>
        <w:right w:val="none" w:sz="0" w:space="0" w:color="auto"/>
      </w:divBdr>
    </w:div>
    <w:div w:id="112142464">
      <w:bodyDiv w:val="1"/>
      <w:marLeft w:val="0"/>
      <w:marRight w:val="0"/>
      <w:marTop w:val="0"/>
      <w:marBottom w:val="0"/>
      <w:divBdr>
        <w:top w:val="none" w:sz="0" w:space="0" w:color="auto"/>
        <w:left w:val="none" w:sz="0" w:space="0" w:color="auto"/>
        <w:bottom w:val="none" w:sz="0" w:space="0" w:color="auto"/>
        <w:right w:val="none" w:sz="0" w:space="0" w:color="auto"/>
      </w:divBdr>
    </w:div>
    <w:div w:id="114718173">
      <w:bodyDiv w:val="1"/>
      <w:marLeft w:val="0"/>
      <w:marRight w:val="0"/>
      <w:marTop w:val="0"/>
      <w:marBottom w:val="0"/>
      <w:divBdr>
        <w:top w:val="none" w:sz="0" w:space="0" w:color="auto"/>
        <w:left w:val="none" w:sz="0" w:space="0" w:color="auto"/>
        <w:bottom w:val="none" w:sz="0" w:space="0" w:color="auto"/>
        <w:right w:val="none" w:sz="0" w:space="0" w:color="auto"/>
      </w:divBdr>
    </w:div>
    <w:div w:id="121846191">
      <w:bodyDiv w:val="1"/>
      <w:marLeft w:val="0"/>
      <w:marRight w:val="0"/>
      <w:marTop w:val="0"/>
      <w:marBottom w:val="0"/>
      <w:divBdr>
        <w:top w:val="none" w:sz="0" w:space="0" w:color="auto"/>
        <w:left w:val="none" w:sz="0" w:space="0" w:color="auto"/>
        <w:bottom w:val="none" w:sz="0" w:space="0" w:color="auto"/>
        <w:right w:val="none" w:sz="0" w:space="0" w:color="auto"/>
      </w:divBdr>
    </w:div>
    <w:div w:id="128402866">
      <w:bodyDiv w:val="1"/>
      <w:marLeft w:val="0"/>
      <w:marRight w:val="0"/>
      <w:marTop w:val="0"/>
      <w:marBottom w:val="0"/>
      <w:divBdr>
        <w:top w:val="none" w:sz="0" w:space="0" w:color="auto"/>
        <w:left w:val="none" w:sz="0" w:space="0" w:color="auto"/>
        <w:bottom w:val="none" w:sz="0" w:space="0" w:color="auto"/>
        <w:right w:val="none" w:sz="0" w:space="0" w:color="auto"/>
      </w:divBdr>
    </w:div>
    <w:div w:id="137497068">
      <w:bodyDiv w:val="1"/>
      <w:marLeft w:val="0"/>
      <w:marRight w:val="0"/>
      <w:marTop w:val="0"/>
      <w:marBottom w:val="0"/>
      <w:divBdr>
        <w:top w:val="none" w:sz="0" w:space="0" w:color="auto"/>
        <w:left w:val="none" w:sz="0" w:space="0" w:color="auto"/>
        <w:bottom w:val="none" w:sz="0" w:space="0" w:color="auto"/>
        <w:right w:val="none" w:sz="0" w:space="0" w:color="auto"/>
      </w:divBdr>
    </w:div>
    <w:div w:id="170530286">
      <w:bodyDiv w:val="1"/>
      <w:marLeft w:val="0"/>
      <w:marRight w:val="0"/>
      <w:marTop w:val="0"/>
      <w:marBottom w:val="0"/>
      <w:divBdr>
        <w:top w:val="none" w:sz="0" w:space="0" w:color="auto"/>
        <w:left w:val="none" w:sz="0" w:space="0" w:color="auto"/>
        <w:bottom w:val="none" w:sz="0" w:space="0" w:color="auto"/>
        <w:right w:val="none" w:sz="0" w:space="0" w:color="auto"/>
      </w:divBdr>
    </w:div>
    <w:div w:id="185217589">
      <w:bodyDiv w:val="1"/>
      <w:marLeft w:val="0"/>
      <w:marRight w:val="0"/>
      <w:marTop w:val="0"/>
      <w:marBottom w:val="0"/>
      <w:divBdr>
        <w:top w:val="none" w:sz="0" w:space="0" w:color="auto"/>
        <w:left w:val="none" w:sz="0" w:space="0" w:color="auto"/>
        <w:bottom w:val="none" w:sz="0" w:space="0" w:color="auto"/>
        <w:right w:val="none" w:sz="0" w:space="0" w:color="auto"/>
      </w:divBdr>
    </w:div>
    <w:div w:id="205415217">
      <w:bodyDiv w:val="1"/>
      <w:marLeft w:val="0"/>
      <w:marRight w:val="0"/>
      <w:marTop w:val="0"/>
      <w:marBottom w:val="0"/>
      <w:divBdr>
        <w:top w:val="none" w:sz="0" w:space="0" w:color="auto"/>
        <w:left w:val="none" w:sz="0" w:space="0" w:color="auto"/>
        <w:bottom w:val="none" w:sz="0" w:space="0" w:color="auto"/>
        <w:right w:val="none" w:sz="0" w:space="0" w:color="auto"/>
      </w:divBdr>
    </w:div>
    <w:div w:id="247202140">
      <w:bodyDiv w:val="1"/>
      <w:marLeft w:val="0"/>
      <w:marRight w:val="0"/>
      <w:marTop w:val="0"/>
      <w:marBottom w:val="0"/>
      <w:divBdr>
        <w:top w:val="none" w:sz="0" w:space="0" w:color="auto"/>
        <w:left w:val="none" w:sz="0" w:space="0" w:color="auto"/>
        <w:bottom w:val="none" w:sz="0" w:space="0" w:color="auto"/>
        <w:right w:val="none" w:sz="0" w:space="0" w:color="auto"/>
      </w:divBdr>
    </w:div>
    <w:div w:id="329331550">
      <w:bodyDiv w:val="1"/>
      <w:marLeft w:val="0"/>
      <w:marRight w:val="0"/>
      <w:marTop w:val="0"/>
      <w:marBottom w:val="0"/>
      <w:divBdr>
        <w:top w:val="none" w:sz="0" w:space="0" w:color="auto"/>
        <w:left w:val="none" w:sz="0" w:space="0" w:color="auto"/>
        <w:bottom w:val="none" w:sz="0" w:space="0" w:color="auto"/>
        <w:right w:val="none" w:sz="0" w:space="0" w:color="auto"/>
      </w:divBdr>
    </w:div>
    <w:div w:id="332926071">
      <w:bodyDiv w:val="1"/>
      <w:marLeft w:val="0"/>
      <w:marRight w:val="0"/>
      <w:marTop w:val="0"/>
      <w:marBottom w:val="0"/>
      <w:divBdr>
        <w:top w:val="none" w:sz="0" w:space="0" w:color="auto"/>
        <w:left w:val="none" w:sz="0" w:space="0" w:color="auto"/>
        <w:bottom w:val="none" w:sz="0" w:space="0" w:color="auto"/>
        <w:right w:val="none" w:sz="0" w:space="0" w:color="auto"/>
      </w:divBdr>
    </w:div>
    <w:div w:id="357896362">
      <w:bodyDiv w:val="1"/>
      <w:marLeft w:val="0"/>
      <w:marRight w:val="0"/>
      <w:marTop w:val="0"/>
      <w:marBottom w:val="0"/>
      <w:divBdr>
        <w:top w:val="none" w:sz="0" w:space="0" w:color="auto"/>
        <w:left w:val="none" w:sz="0" w:space="0" w:color="auto"/>
        <w:bottom w:val="none" w:sz="0" w:space="0" w:color="auto"/>
        <w:right w:val="none" w:sz="0" w:space="0" w:color="auto"/>
      </w:divBdr>
    </w:div>
    <w:div w:id="397285999">
      <w:bodyDiv w:val="1"/>
      <w:marLeft w:val="0"/>
      <w:marRight w:val="0"/>
      <w:marTop w:val="0"/>
      <w:marBottom w:val="0"/>
      <w:divBdr>
        <w:top w:val="none" w:sz="0" w:space="0" w:color="auto"/>
        <w:left w:val="none" w:sz="0" w:space="0" w:color="auto"/>
        <w:bottom w:val="none" w:sz="0" w:space="0" w:color="auto"/>
        <w:right w:val="none" w:sz="0" w:space="0" w:color="auto"/>
      </w:divBdr>
    </w:div>
    <w:div w:id="414672191">
      <w:bodyDiv w:val="1"/>
      <w:marLeft w:val="0"/>
      <w:marRight w:val="0"/>
      <w:marTop w:val="0"/>
      <w:marBottom w:val="0"/>
      <w:divBdr>
        <w:top w:val="none" w:sz="0" w:space="0" w:color="auto"/>
        <w:left w:val="none" w:sz="0" w:space="0" w:color="auto"/>
        <w:bottom w:val="none" w:sz="0" w:space="0" w:color="auto"/>
        <w:right w:val="none" w:sz="0" w:space="0" w:color="auto"/>
      </w:divBdr>
    </w:div>
    <w:div w:id="427627794">
      <w:bodyDiv w:val="1"/>
      <w:marLeft w:val="0"/>
      <w:marRight w:val="0"/>
      <w:marTop w:val="0"/>
      <w:marBottom w:val="0"/>
      <w:divBdr>
        <w:top w:val="none" w:sz="0" w:space="0" w:color="auto"/>
        <w:left w:val="none" w:sz="0" w:space="0" w:color="auto"/>
        <w:bottom w:val="none" w:sz="0" w:space="0" w:color="auto"/>
        <w:right w:val="none" w:sz="0" w:space="0" w:color="auto"/>
      </w:divBdr>
    </w:div>
    <w:div w:id="441459838">
      <w:bodyDiv w:val="1"/>
      <w:marLeft w:val="0"/>
      <w:marRight w:val="0"/>
      <w:marTop w:val="0"/>
      <w:marBottom w:val="0"/>
      <w:divBdr>
        <w:top w:val="none" w:sz="0" w:space="0" w:color="auto"/>
        <w:left w:val="none" w:sz="0" w:space="0" w:color="auto"/>
        <w:bottom w:val="none" w:sz="0" w:space="0" w:color="auto"/>
        <w:right w:val="none" w:sz="0" w:space="0" w:color="auto"/>
      </w:divBdr>
    </w:div>
    <w:div w:id="480005539">
      <w:bodyDiv w:val="1"/>
      <w:marLeft w:val="0"/>
      <w:marRight w:val="0"/>
      <w:marTop w:val="0"/>
      <w:marBottom w:val="0"/>
      <w:divBdr>
        <w:top w:val="none" w:sz="0" w:space="0" w:color="auto"/>
        <w:left w:val="none" w:sz="0" w:space="0" w:color="auto"/>
        <w:bottom w:val="none" w:sz="0" w:space="0" w:color="auto"/>
        <w:right w:val="none" w:sz="0" w:space="0" w:color="auto"/>
      </w:divBdr>
      <w:divsChild>
        <w:div w:id="2081756767">
          <w:marLeft w:val="0"/>
          <w:marRight w:val="0"/>
          <w:marTop w:val="0"/>
          <w:marBottom w:val="0"/>
          <w:divBdr>
            <w:top w:val="none" w:sz="0" w:space="0" w:color="auto"/>
            <w:left w:val="none" w:sz="0" w:space="0" w:color="auto"/>
            <w:bottom w:val="none" w:sz="0" w:space="0" w:color="auto"/>
            <w:right w:val="none" w:sz="0" w:space="0" w:color="auto"/>
          </w:divBdr>
        </w:div>
        <w:div w:id="1263490086">
          <w:marLeft w:val="0"/>
          <w:marRight w:val="0"/>
          <w:marTop w:val="0"/>
          <w:marBottom w:val="0"/>
          <w:divBdr>
            <w:top w:val="none" w:sz="0" w:space="0" w:color="auto"/>
            <w:left w:val="none" w:sz="0" w:space="0" w:color="auto"/>
            <w:bottom w:val="none" w:sz="0" w:space="0" w:color="auto"/>
            <w:right w:val="none" w:sz="0" w:space="0" w:color="auto"/>
          </w:divBdr>
        </w:div>
        <w:div w:id="1361592397">
          <w:marLeft w:val="0"/>
          <w:marRight w:val="0"/>
          <w:marTop w:val="0"/>
          <w:marBottom w:val="0"/>
          <w:divBdr>
            <w:top w:val="none" w:sz="0" w:space="0" w:color="auto"/>
            <w:left w:val="none" w:sz="0" w:space="0" w:color="auto"/>
            <w:bottom w:val="none" w:sz="0" w:space="0" w:color="auto"/>
            <w:right w:val="none" w:sz="0" w:space="0" w:color="auto"/>
          </w:divBdr>
        </w:div>
        <w:div w:id="1768429655">
          <w:marLeft w:val="0"/>
          <w:marRight w:val="0"/>
          <w:marTop w:val="0"/>
          <w:marBottom w:val="0"/>
          <w:divBdr>
            <w:top w:val="none" w:sz="0" w:space="0" w:color="auto"/>
            <w:left w:val="none" w:sz="0" w:space="0" w:color="auto"/>
            <w:bottom w:val="none" w:sz="0" w:space="0" w:color="auto"/>
            <w:right w:val="none" w:sz="0" w:space="0" w:color="auto"/>
          </w:divBdr>
        </w:div>
        <w:div w:id="1630473846">
          <w:marLeft w:val="0"/>
          <w:marRight w:val="0"/>
          <w:marTop w:val="0"/>
          <w:marBottom w:val="0"/>
          <w:divBdr>
            <w:top w:val="none" w:sz="0" w:space="0" w:color="auto"/>
            <w:left w:val="none" w:sz="0" w:space="0" w:color="auto"/>
            <w:bottom w:val="none" w:sz="0" w:space="0" w:color="auto"/>
            <w:right w:val="none" w:sz="0" w:space="0" w:color="auto"/>
          </w:divBdr>
          <w:divsChild>
            <w:div w:id="1428236477">
              <w:marLeft w:val="0"/>
              <w:marRight w:val="0"/>
              <w:marTop w:val="0"/>
              <w:marBottom w:val="0"/>
              <w:divBdr>
                <w:top w:val="none" w:sz="0" w:space="0" w:color="auto"/>
                <w:left w:val="none" w:sz="0" w:space="0" w:color="auto"/>
                <w:bottom w:val="none" w:sz="0" w:space="0" w:color="auto"/>
                <w:right w:val="none" w:sz="0" w:space="0" w:color="auto"/>
              </w:divBdr>
            </w:div>
          </w:divsChild>
        </w:div>
        <w:div w:id="1621108137">
          <w:marLeft w:val="0"/>
          <w:marRight w:val="0"/>
          <w:marTop w:val="0"/>
          <w:marBottom w:val="0"/>
          <w:divBdr>
            <w:top w:val="none" w:sz="0" w:space="0" w:color="auto"/>
            <w:left w:val="none" w:sz="0" w:space="0" w:color="auto"/>
            <w:bottom w:val="none" w:sz="0" w:space="0" w:color="auto"/>
            <w:right w:val="none" w:sz="0" w:space="0" w:color="auto"/>
          </w:divBdr>
        </w:div>
        <w:div w:id="1618217183">
          <w:marLeft w:val="0"/>
          <w:marRight w:val="0"/>
          <w:marTop w:val="0"/>
          <w:marBottom w:val="0"/>
          <w:divBdr>
            <w:top w:val="none" w:sz="0" w:space="0" w:color="auto"/>
            <w:left w:val="none" w:sz="0" w:space="0" w:color="auto"/>
            <w:bottom w:val="none" w:sz="0" w:space="0" w:color="auto"/>
            <w:right w:val="none" w:sz="0" w:space="0" w:color="auto"/>
          </w:divBdr>
        </w:div>
        <w:div w:id="1261454375">
          <w:marLeft w:val="0"/>
          <w:marRight w:val="0"/>
          <w:marTop w:val="0"/>
          <w:marBottom w:val="0"/>
          <w:divBdr>
            <w:top w:val="none" w:sz="0" w:space="0" w:color="auto"/>
            <w:left w:val="none" w:sz="0" w:space="0" w:color="auto"/>
            <w:bottom w:val="none" w:sz="0" w:space="0" w:color="auto"/>
            <w:right w:val="none" w:sz="0" w:space="0" w:color="auto"/>
          </w:divBdr>
        </w:div>
        <w:div w:id="818617827">
          <w:marLeft w:val="0"/>
          <w:marRight w:val="0"/>
          <w:marTop w:val="0"/>
          <w:marBottom w:val="0"/>
          <w:divBdr>
            <w:top w:val="none" w:sz="0" w:space="0" w:color="auto"/>
            <w:left w:val="none" w:sz="0" w:space="0" w:color="auto"/>
            <w:bottom w:val="none" w:sz="0" w:space="0" w:color="auto"/>
            <w:right w:val="none" w:sz="0" w:space="0" w:color="auto"/>
          </w:divBdr>
        </w:div>
      </w:divsChild>
    </w:div>
    <w:div w:id="501629022">
      <w:bodyDiv w:val="1"/>
      <w:marLeft w:val="0"/>
      <w:marRight w:val="0"/>
      <w:marTop w:val="0"/>
      <w:marBottom w:val="0"/>
      <w:divBdr>
        <w:top w:val="none" w:sz="0" w:space="0" w:color="auto"/>
        <w:left w:val="none" w:sz="0" w:space="0" w:color="auto"/>
        <w:bottom w:val="none" w:sz="0" w:space="0" w:color="auto"/>
        <w:right w:val="none" w:sz="0" w:space="0" w:color="auto"/>
      </w:divBdr>
    </w:div>
    <w:div w:id="510025940">
      <w:bodyDiv w:val="1"/>
      <w:marLeft w:val="0"/>
      <w:marRight w:val="0"/>
      <w:marTop w:val="0"/>
      <w:marBottom w:val="0"/>
      <w:divBdr>
        <w:top w:val="none" w:sz="0" w:space="0" w:color="auto"/>
        <w:left w:val="none" w:sz="0" w:space="0" w:color="auto"/>
        <w:bottom w:val="none" w:sz="0" w:space="0" w:color="auto"/>
        <w:right w:val="none" w:sz="0" w:space="0" w:color="auto"/>
      </w:divBdr>
    </w:div>
    <w:div w:id="563640864">
      <w:bodyDiv w:val="1"/>
      <w:marLeft w:val="0"/>
      <w:marRight w:val="0"/>
      <w:marTop w:val="0"/>
      <w:marBottom w:val="0"/>
      <w:divBdr>
        <w:top w:val="none" w:sz="0" w:space="0" w:color="auto"/>
        <w:left w:val="none" w:sz="0" w:space="0" w:color="auto"/>
        <w:bottom w:val="none" w:sz="0" w:space="0" w:color="auto"/>
        <w:right w:val="none" w:sz="0" w:space="0" w:color="auto"/>
      </w:divBdr>
    </w:div>
    <w:div w:id="580874140">
      <w:bodyDiv w:val="1"/>
      <w:marLeft w:val="0"/>
      <w:marRight w:val="0"/>
      <w:marTop w:val="0"/>
      <w:marBottom w:val="0"/>
      <w:divBdr>
        <w:top w:val="none" w:sz="0" w:space="0" w:color="auto"/>
        <w:left w:val="none" w:sz="0" w:space="0" w:color="auto"/>
        <w:bottom w:val="none" w:sz="0" w:space="0" w:color="auto"/>
        <w:right w:val="none" w:sz="0" w:space="0" w:color="auto"/>
      </w:divBdr>
      <w:divsChild>
        <w:div w:id="1881235524">
          <w:marLeft w:val="0"/>
          <w:marRight w:val="0"/>
          <w:marTop w:val="0"/>
          <w:marBottom w:val="0"/>
          <w:divBdr>
            <w:top w:val="none" w:sz="0" w:space="0" w:color="auto"/>
            <w:left w:val="none" w:sz="0" w:space="0" w:color="auto"/>
            <w:bottom w:val="none" w:sz="0" w:space="0" w:color="auto"/>
            <w:right w:val="none" w:sz="0" w:space="0" w:color="auto"/>
          </w:divBdr>
        </w:div>
        <w:div w:id="678777181">
          <w:marLeft w:val="0"/>
          <w:marRight w:val="0"/>
          <w:marTop w:val="0"/>
          <w:marBottom w:val="0"/>
          <w:divBdr>
            <w:top w:val="none" w:sz="0" w:space="0" w:color="auto"/>
            <w:left w:val="none" w:sz="0" w:space="0" w:color="auto"/>
            <w:bottom w:val="none" w:sz="0" w:space="0" w:color="auto"/>
            <w:right w:val="none" w:sz="0" w:space="0" w:color="auto"/>
          </w:divBdr>
        </w:div>
        <w:div w:id="121654297">
          <w:marLeft w:val="0"/>
          <w:marRight w:val="0"/>
          <w:marTop w:val="0"/>
          <w:marBottom w:val="0"/>
          <w:divBdr>
            <w:top w:val="none" w:sz="0" w:space="0" w:color="auto"/>
            <w:left w:val="none" w:sz="0" w:space="0" w:color="auto"/>
            <w:bottom w:val="none" w:sz="0" w:space="0" w:color="auto"/>
            <w:right w:val="none" w:sz="0" w:space="0" w:color="auto"/>
          </w:divBdr>
        </w:div>
        <w:div w:id="1769306121">
          <w:marLeft w:val="0"/>
          <w:marRight w:val="0"/>
          <w:marTop w:val="0"/>
          <w:marBottom w:val="0"/>
          <w:divBdr>
            <w:top w:val="none" w:sz="0" w:space="0" w:color="auto"/>
            <w:left w:val="none" w:sz="0" w:space="0" w:color="auto"/>
            <w:bottom w:val="none" w:sz="0" w:space="0" w:color="auto"/>
            <w:right w:val="none" w:sz="0" w:space="0" w:color="auto"/>
          </w:divBdr>
        </w:div>
      </w:divsChild>
    </w:div>
    <w:div w:id="588582312">
      <w:bodyDiv w:val="1"/>
      <w:marLeft w:val="0"/>
      <w:marRight w:val="0"/>
      <w:marTop w:val="0"/>
      <w:marBottom w:val="0"/>
      <w:divBdr>
        <w:top w:val="none" w:sz="0" w:space="0" w:color="auto"/>
        <w:left w:val="none" w:sz="0" w:space="0" w:color="auto"/>
        <w:bottom w:val="none" w:sz="0" w:space="0" w:color="auto"/>
        <w:right w:val="none" w:sz="0" w:space="0" w:color="auto"/>
      </w:divBdr>
    </w:div>
    <w:div w:id="589776591">
      <w:bodyDiv w:val="1"/>
      <w:marLeft w:val="0"/>
      <w:marRight w:val="0"/>
      <w:marTop w:val="0"/>
      <w:marBottom w:val="0"/>
      <w:divBdr>
        <w:top w:val="none" w:sz="0" w:space="0" w:color="auto"/>
        <w:left w:val="none" w:sz="0" w:space="0" w:color="auto"/>
        <w:bottom w:val="none" w:sz="0" w:space="0" w:color="auto"/>
        <w:right w:val="none" w:sz="0" w:space="0" w:color="auto"/>
      </w:divBdr>
    </w:div>
    <w:div w:id="595023698">
      <w:bodyDiv w:val="1"/>
      <w:marLeft w:val="0"/>
      <w:marRight w:val="0"/>
      <w:marTop w:val="0"/>
      <w:marBottom w:val="0"/>
      <w:divBdr>
        <w:top w:val="none" w:sz="0" w:space="0" w:color="auto"/>
        <w:left w:val="none" w:sz="0" w:space="0" w:color="auto"/>
        <w:bottom w:val="none" w:sz="0" w:space="0" w:color="auto"/>
        <w:right w:val="none" w:sz="0" w:space="0" w:color="auto"/>
      </w:divBdr>
    </w:div>
    <w:div w:id="674501915">
      <w:bodyDiv w:val="1"/>
      <w:marLeft w:val="0"/>
      <w:marRight w:val="0"/>
      <w:marTop w:val="0"/>
      <w:marBottom w:val="0"/>
      <w:divBdr>
        <w:top w:val="none" w:sz="0" w:space="0" w:color="auto"/>
        <w:left w:val="none" w:sz="0" w:space="0" w:color="auto"/>
        <w:bottom w:val="none" w:sz="0" w:space="0" w:color="auto"/>
        <w:right w:val="none" w:sz="0" w:space="0" w:color="auto"/>
      </w:divBdr>
      <w:divsChild>
        <w:div w:id="1793400912">
          <w:marLeft w:val="0"/>
          <w:marRight w:val="0"/>
          <w:marTop w:val="0"/>
          <w:marBottom w:val="0"/>
          <w:divBdr>
            <w:top w:val="none" w:sz="0" w:space="0" w:color="auto"/>
            <w:left w:val="none" w:sz="0" w:space="0" w:color="auto"/>
            <w:bottom w:val="none" w:sz="0" w:space="0" w:color="auto"/>
            <w:right w:val="none" w:sz="0" w:space="0" w:color="auto"/>
          </w:divBdr>
        </w:div>
      </w:divsChild>
    </w:div>
    <w:div w:id="705331116">
      <w:bodyDiv w:val="1"/>
      <w:marLeft w:val="0"/>
      <w:marRight w:val="0"/>
      <w:marTop w:val="0"/>
      <w:marBottom w:val="0"/>
      <w:divBdr>
        <w:top w:val="none" w:sz="0" w:space="0" w:color="auto"/>
        <w:left w:val="none" w:sz="0" w:space="0" w:color="auto"/>
        <w:bottom w:val="none" w:sz="0" w:space="0" w:color="auto"/>
        <w:right w:val="none" w:sz="0" w:space="0" w:color="auto"/>
      </w:divBdr>
    </w:div>
    <w:div w:id="713163407">
      <w:bodyDiv w:val="1"/>
      <w:marLeft w:val="0"/>
      <w:marRight w:val="0"/>
      <w:marTop w:val="0"/>
      <w:marBottom w:val="0"/>
      <w:divBdr>
        <w:top w:val="none" w:sz="0" w:space="0" w:color="auto"/>
        <w:left w:val="none" w:sz="0" w:space="0" w:color="auto"/>
        <w:bottom w:val="none" w:sz="0" w:space="0" w:color="auto"/>
        <w:right w:val="none" w:sz="0" w:space="0" w:color="auto"/>
      </w:divBdr>
    </w:div>
    <w:div w:id="717970838">
      <w:bodyDiv w:val="1"/>
      <w:marLeft w:val="0"/>
      <w:marRight w:val="0"/>
      <w:marTop w:val="0"/>
      <w:marBottom w:val="0"/>
      <w:divBdr>
        <w:top w:val="none" w:sz="0" w:space="0" w:color="auto"/>
        <w:left w:val="none" w:sz="0" w:space="0" w:color="auto"/>
        <w:bottom w:val="none" w:sz="0" w:space="0" w:color="auto"/>
        <w:right w:val="none" w:sz="0" w:space="0" w:color="auto"/>
      </w:divBdr>
    </w:div>
    <w:div w:id="724449538">
      <w:bodyDiv w:val="1"/>
      <w:marLeft w:val="0"/>
      <w:marRight w:val="0"/>
      <w:marTop w:val="0"/>
      <w:marBottom w:val="0"/>
      <w:divBdr>
        <w:top w:val="none" w:sz="0" w:space="0" w:color="auto"/>
        <w:left w:val="none" w:sz="0" w:space="0" w:color="auto"/>
        <w:bottom w:val="none" w:sz="0" w:space="0" w:color="auto"/>
        <w:right w:val="none" w:sz="0" w:space="0" w:color="auto"/>
      </w:divBdr>
      <w:divsChild>
        <w:div w:id="1791437313">
          <w:marLeft w:val="0"/>
          <w:marRight w:val="0"/>
          <w:marTop w:val="0"/>
          <w:marBottom w:val="0"/>
          <w:divBdr>
            <w:top w:val="none" w:sz="0" w:space="0" w:color="auto"/>
            <w:left w:val="none" w:sz="0" w:space="0" w:color="auto"/>
            <w:bottom w:val="none" w:sz="0" w:space="0" w:color="auto"/>
            <w:right w:val="none" w:sz="0" w:space="0" w:color="auto"/>
          </w:divBdr>
        </w:div>
        <w:div w:id="81993235">
          <w:marLeft w:val="0"/>
          <w:marRight w:val="0"/>
          <w:marTop w:val="0"/>
          <w:marBottom w:val="0"/>
          <w:divBdr>
            <w:top w:val="none" w:sz="0" w:space="0" w:color="auto"/>
            <w:left w:val="none" w:sz="0" w:space="0" w:color="auto"/>
            <w:bottom w:val="none" w:sz="0" w:space="0" w:color="auto"/>
            <w:right w:val="none" w:sz="0" w:space="0" w:color="auto"/>
          </w:divBdr>
        </w:div>
        <w:div w:id="1468937836">
          <w:marLeft w:val="0"/>
          <w:marRight w:val="0"/>
          <w:marTop w:val="0"/>
          <w:marBottom w:val="0"/>
          <w:divBdr>
            <w:top w:val="none" w:sz="0" w:space="0" w:color="auto"/>
            <w:left w:val="none" w:sz="0" w:space="0" w:color="auto"/>
            <w:bottom w:val="none" w:sz="0" w:space="0" w:color="auto"/>
            <w:right w:val="none" w:sz="0" w:space="0" w:color="auto"/>
          </w:divBdr>
        </w:div>
        <w:div w:id="1794058824">
          <w:marLeft w:val="0"/>
          <w:marRight w:val="0"/>
          <w:marTop w:val="0"/>
          <w:marBottom w:val="0"/>
          <w:divBdr>
            <w:top w:val="none" w:sz="0" w:space="0" w:color="auto"/>
            <w:left w:val="none" w:sz="0" w:space="0" w:color="auto"/>
            <w:bottom w:val="none" w:sz="0" w:space="0" w:color="auto"/>
            <w:right w:val="none" w:sz="0" w:space="0" w:color="auto"/>
          </w:divBdr>
        </w:div>
        <w:div w:id="445587960">
          <w:marLeft w:val="0"/>
          <w:marRight w:val="0"/>
          <w:marTop w:val="0"/>
          <w:marBottom w:val="0"/>
          <w:divBdr>
            <w:top w:val="none" w:sz="0" w:space="0" w:color="auto"/>
            <w:left w:val="none" w:sz="0" w:space="0" w:color="auto"/>
            <w:bottom w:val="none" w:sz="0" w:space="0" w:color="auto"/>
            <w:right w:val="none" w:sz="0" w:space="0" w:color="auto"/>
          </w:divBdr>
        </w:div>
        <w:div w:id="1194923611">
          <w:marLeft w:val="0"/>
          <w:marRight w:val="0"/>
          <w:marTop w:val="0"/>
          <w:marBottom w:val="0"/>
          <w:divBdr>
            <w:top w:val="none" w:sz="0" w:space="0" w:color="auto"/>
            <w:left w:val="none" w:sz="0" w:space="0" w:color="auto"/>
            <w:bottom w:val="none" w:sz="0" w:space="0" w:color="auto"/>
            <w:right w:val="none" w:sz="0" w:space="0" w:color="auto"/>
          </w:divBdr>
        </w:div>
        <w:div w:id="607781123">
          <w:marLeft w:val="0"/>
          <w:marRight w:val="0"/>
          <w:marTop w:val="0"/>
          <w:marBottom w:val="0"/>
          <w:divBdr>
            <w:top w:val="none" w:sz="0" w:space="0" w:color="auto"/>
            <w:left w:val="none" w:sz="0" w:space="0" w:color="auto"/>
            <w:bottom w:val="none" w:sz="0" w:space="0" w:color="auto"/>
            <w:right w:val="none" w:sz="0" w:space="0" w:color="auto"/>
          </w:divBdr>
        </w:div>
        <w:div w:id="1712805935">
          <w:marLeft w:val="0"/>
          <w:marRight w:val="0"/>
          <w:marTop w:val="0"/>
          <w:marBottom w:val="0"/>
          <w:divBdr>
            <w:top w:val="none" w:sz="0" w:space="0" w:color="auto"/>
            <w:left w:val="none" w:sz="0" w:space="0" w:color="auto"/>
            <w:bottom w:val="none" w:sz="0" w:space="0" w:color="auto"/>
            <w:right w:val="none" w:sz="0" w:space="0" w:color="auto"/>
          </w:divBdr>
        </w:div>
      </w:divsChild>
    </w:div>
    <w:div w:id="822502661">
      <w:bodyDiv w:val="1"/>
      <w:marLeft w:val="0"/>
      <w:marRight w:val="0"/>
      <w:marTop w:val="0"/>
      <w:marBottom w:val="0"/>
      <w:divBdr>
        <w:top w:val="none" w:sz="0" w:space="0" w:color="auto"/>
        <w:left w:val="none" w:sz="0" w:space="0" w:color="auto"/>
        <w:bottom w:val="none" w:sz="0" w:space="0" w:color="auto"/>
        <w:right w:val="none" w:sz="0" w:space="0" w:color="auto"/>
      </w:divBdr>
      <w:divsChild>
        <w:div w:id="1020276019">
          <w:marLeft w:val="0"/>
          <w:marRight w:val="0"/>
          <w:marTop w:val="0"/>
          <w:marBottom w:val="0"/>
          <w:divBdr>
            <w:top w:val="none" w:sz="0" w:space="0" w:color="auto"/>
            <w:left w:val="none" w:sz="0" w:space="0" w:color="auto"/>
            <w:bottom w:val="none" w:sz="0" w:space="0" w:color="auto"/>
            <w:right w:val="none" w:sz="0" w:space="0" w:color="auto"/>
          </w:divBdr>
        </w:div>
        <w:div w:id="322781740">
          <w:marLeft w:val="0"/>
          <w:marRight w:val="0"/>
          <w:marTop w:val="0"/>
          <w:marBottom w:val="0"/>
          <w:divBdr>
            <w:top w:val="none" w:sz="0" w:space="0" w:color="auto"/>
            <w:left w:val="none" w:sz="0" w:space="0" w:color="auto"/>
            <w:bottom w:val="none" w:sz="0" w:space="0" w:color="auto"/>
            <w:right w:val="none" w:sz="0" w:space="0" w:color="auto"/>
          </w:divBdr>
        </w:div>
        <w:div w:id="1022899817">
          <w:marLeft w:val="0"/>
          <w:marRight w:val="0"/>
          <w:marTop w:val="0"/>
          <w:marBottom w:val="0"/>
          <w:divBdr>
            <w:top w:val="none" w:sz="0" w:space="0" w:color="auto"/>
            <w:left w:val="none" w:sz="0" w:space="0" w:color="auto"/>
            <w:bottom w:val="none" w:sz="0" w:space="0" w:color="auto"/>
            <w:right w:val="none" w:sz="0" w:space="0" w:color="auto"/>
          </w:divBdr>
        </w:div>
        <w:div w:id="1950964738">
          <w:marLeft w:val="0"/>
          <w:marRight w:val="0"/>
          <w:marTop w:val="0"/>
          <w:marBottom w:val="0"/>
          <w:divBdr>
            <w:top w:val="none" w:sz="0" w:space="0" w:color="auto"/>
            <w:left w:val="none" w:sz="0" w:space="0" w:color="auto"/>
            <w:bottom w:val="none" w:sz="0" w:space="0" w:color="auto"/>
            <w:right w:val="none" w:sz="0" w:space="0" w:color="auto"/>
          </w:divBdr>
        </w:div>
        <w:div w:id="1338267712">
          <w:marLeft w:val="0"/>
          <w:marRight w:val="0"/>
          <w:marTop w:val="0"/>
          <w:marBottom w:val="0"/>
          <w:divBdr>
            <w:top w:val="none" w:sz="0" w:space="0" w:color="auto"/>
            <w:left w:val="none" w:sz="0" w:space="0" w:color="auto"/>
            <w:bottom w:val="none" w:sz="0" w:space="0" w:color="auto"/>
            <w:right w:val="none" w:sz="0" w:space="0" w:color="auto"/>
          </w:divBdr>
        </w:div>
        <w:div w:id="726148926">
          <w:marLeft w:val="0"/>
          <w:marRight w:val="0"/>
          <w:marTop w:val="0"/>
          <w:marBottom w:val="0"/>
          <w:divBdr>
            <w:top w:val="none" w:sz="0" w:space="0" w:color="auto"/>
            <w:left w:val="none" w:sz="0" w:space="0" w:color="auto"/>
            <w:bottom w:val="none" w:sz="0" w:space="0" w:color="auto"/>
            <w:right w:val="none" w:sz="0" w:space="0" w:color="auto"/>
          </w:divBdr>
        </w:div>
        <w:div w:id="1982613904">
          <w:marLeft w:val="0"/>
          <w:marRight w:val="0"/>
          <w:marTop w:val="0"/>
          <w:marBottom w:val="0"/>
          <w:divBdr>
            <w:top w:val="none" w:sz="0" w:space="0" w:color="auto"/>
            <w:left w:val="none" w:sz="0" w:space="0" w:color="auto"/>
            <w:bottom w:val="none" w:sz="0" w:space="0" w:color="auto"/>
            <w:right w:val="none" w:sz="0" w:space="0" w:color="auto"/>
          </w:divBdr>
        </w:div>
        <w:div w:id="1085688218">
          <w:marLeft w:val="0"/>
          <w:marRight w:val="0"/>
          <w:marTop w:val="0"/>
          <w:marBottom w:val="0"/>
          <w:divBdr>
            <w:top w:val="none" w:sz="0" w:space="0" w:color="auto"/>
            <w:left w:val="none" w:sz="0" w:space="0" w:color="auto"/>
            <w:bottom w:val="none" w:sz="0" w:space="0" w:color="auto"/>
            <w:right w:val="none" w:sz="0" w:space="0" w:color="auto"/>
          </w:divBdr>
        </w:div>
      </w:divsChild>
    </w:div>
    <w:div w:id="881091817">
      <w:bodyDiv w:val="1"/>
      <w:marLeft w:val="0"/>
      <w:marRight w:val="0"/>
      <w:marTop w:val="0"/>
      <w:marBottom w:val="0"/>
      <w:divBdr>
        <w:top w:val="none" w:sz="0" w:space="0" w:color="auto"/>
        <w:left w:val="none" w:sz="0" w:space="0" w:color="auto"/>
        <w:bottom w:val="none" w:sz="0" w:space="0" w:color="auto"/>
        <w:right w:val="none" w:sz="0" w:space="0" w:color="auto"/>
      </w:divBdr>
      <w:divsChild>
        <w:div w:id="769156963">
          <w:marLeft w:val="0"/>
          <w:marRight w:val="0"/>
          <w:marTop w:val="0"/>
          <w:marBottom w:val="0"/>
          <w:divBdr>
            <w:top w:val="none" w:sz="0" w:space="0" w:color="auto"/>
            <w:left w:val="none" w:sz="0" w:space="0" w:color="auto"/>
            <w:bottom w:val="none" w:sz="0" w:space="0" w:color="auto"/>
            <w:right w:val="none" w:sz="0" w:space="0" w:color="auto"/>
          </w:divBdr>
        </w:div>
        <w:div w:id="1644774897">
          <w:marLeft w:val="0"/>
          <w:marRight w:val="0"/>
          <w:marTop w:val="0"/>
          <w:marBottom w:val="0"/>
          <w:divBdr>
            <w:top w:val="none" w:sz="0" w:space="0" w:color="auto"/>
            <w:left w:val="none" w:sz="0" w:space="0" w:color="auto"/>
            <w:bottom w:val="none" w:sz="0" w:space="0" w:color="auto"/>
            <w:right w:val="none" w:sz="0" w:space="0" w:color="auto"/>
          </w:divBdr>
        </w:div>
        <w:div w:id="1139372457">
          <w:marLeft w:val="0"/>
          <w:marRight w:val="0"/>
          <w:marTop w:val="0"/>
          <w:marBottom w:val="0"/>
          <w:divBdr>
            <w:top w:val="none" w:sz="0" w:space="0" w:color="auto"/>
            <w:left w:val="none" w:sz="0" w:space="0" w:color="auto"/>
            <w:bottom w:val="none" w:sz="0" w:space="0" w:color="auto"/>
            <w:right w:val="none" w:sz="0" w:space="0" w:color="auto"/>
          </w:divBdr>
        </w:div>
        <w:div w:id="370692920">
          <w:marLeft w:val="0"/>
          <w:marRight w:val="0"/>
          <w:marTop w:val="0"/>
          <w:marBottom w:val="0"/>
          <w:divBdr>
            <w:top w:val="none" w:sz="0" w:space="0" w:color="auto"/>
            <w:left w:val="none" w:sz="0" w:space="0" w:color="auto"/>
            <w:bottom w:val="none" w:sz="0" w:space="0" w:color="auto"/>
            <w:right w:val="none" w:sz="0" w:space="0" w:color="auto"/>
          </w:divBdr>
        </w:div>
      </w:divsChild>
    </w:div>
    <w:div w:id="931090396">
      <w:bodyDiv w:val="1"/>
      <w:marLeft w:val="0"/>
      <w:marRight w:val="0"/>
      <w:marTop w:val="0"/>
      <w:marBottom w:val="0"/>
      <w:divBdr>
        <w:top w:val="none" w:sz="0" w:space="0" w:color="auto"/>
        <w:left w:val="none" w:sz="0" w:space="0" w:color="auto"/>
        <w:bottom w:val="none" w:sz="0" w:space="0" w:color="auto"/>
        <w:right w:val="none" w:sz="0" w:space="0" w:color="auto"/>
      </w:divBdr>
    </w:div>
    <w:div w:id="1027752251">
      <w:bodyDiv w:val="1"/>
      <w:marLeft w:val="0"/>
      <w:marRight w:val="0"/>
      <w:marTop w:val="0"/>
      <w:marBottom w:val="0"/>
      <w:divBdr>
        <w:top w:val="none" w:sz="0" w:space="0" w:color="auto"/>
        <w:left w:val="none" w:sz="0" w:space="0" w:color="auto"/>
        <w:bottom w:val="none" w:sz="0" w:space="0" w:color="auto"/>
        <w:right w:val="none" w:sz="0" w:space="0" w:color="auto"/>
      </w:divBdr>
    </w:div>
    <w:div w:id="1089961967">
      <w:bodyDiv w:val="1"/>
      <w:marLeft w:val="0"/>
      <w:marRight w:val="0"/>
      <w:marTop w:val="0"/>
      <w:marBottom w:val="0"/>
      <w:divBdr>
        <w:top w:val="none" w:sz="0" w:space="0" w:color="auto"/>
        <w:left w:val="none" w:sz="0" w:space="0" w:color="auto"/>
        <w:bottom w:val="none" w:sz="0" w:space="0" w:color="auto"/>
        <w:right w:val="none" w:sz="0" w:space="0" w:color="auto"/>
      </w:divBdr>
    </w:div>
    <w:div w:id="1091051187">
      <w:bodyDiv w:val="1"/>
      <w:marLeft w:val="0"/>
      <w:marRight w:val="0"/>
      <w:marTop w:val="0"/>
      <w:marBottom w:val="0"/>
      <w:divBdr>
        <w:top w:val="none" w:sz="0" w:space="0" w:color="auto"/>
        <w:left w:val="none" w:sz="0" w:space="0" w:color="auto"/>
        <w:bottom w:val="none" w:sz="0" w:space="0" w:color="auto"/>
        <w:right w:val="none" w:sz="0" w:space="0" w:color="auto"/>
      </w:divBdr>
    </w:div>
    <w:div w:id="1101801380">
      <w:bodyDiv w:val="1"/>
      <w:marLeft w:val="0"/>
      <w:marRight w:val="0"/>
      <w:marTop w:val="0"/>
      <w:marBottom w:val="0"/>
      <w:divBdr>
        <w:top w:val="none" w:sz="0" w:space="0" w:color="auto"/>
        <w:left w:val="none" w:sz="0" w:space="0" w:color="auto"/>
        <w:bottom w:val="none" w:sz="0" w:space="0" w:color="auto"/>
        <w:right w:val="none" w:sz="0" w:space="0" w:color="auto"/>
      </w:divBdr>
    </w:div>
    <w:div w:id="1111895657">
      <w:bodyDiv w:val="1"/>
      <w:marLeft w:val="0"/>
      <w:marRight w:val="0"/>
      <w:marTop w:val="0"/>
      <w:marBottom w:val="0"/>
      <w:divBdr>
        <w:top w:val="none" w:sz="0" w:space="0" w:color="auto"/>
        <w:left w:val="none" w:sz="0" w:space="0" w:color="auto"/>
        <w:bottom w:val="none" w:sz="0" w:space="0" w:color="auto"/>
        <w:right w:val="none" w:sz="0" w:space="0" w:color="auto"/>
      </w:divBdr>
    </w:div>
    <w:div w:id="1131872718">
      <w:bodyDiv w:val="1"/>
      <w:marLeft w:val="0"/>
      <w:marRight w:val="0"/>
      <w:marTop w:val="0"/>
      <w:marBottom w:val="0"/>
      <w:divBdr>
        <w:top w:val="none" w:sz="0" w:space="0" w:color="auto"/>
        <w:left w:val="none" w:sz="0" w:space="0" w:color="auto"/>
        <w:bottom w:val="none" w:sz="0" w:space="0" w:color="auto"/>
        <w:right w:val="none" w:sz="0" w:space="0" w:color="auto"/>
      </w:divBdr>
    </w:div>
    <w:div w:id="1148128515">
      <w:bodyDiv w:val="1"/>
      <w:marLeft w:val="0"/>
      <w:marRight w:val="0"/>
      <w:marTop w:val="0"/>
      <w:marBottom w:val="0"/>
      <w:divBdr>
        <w:top w:val="none" w:sz="0" w:space="0" w:color="auto"/>
        <w:left w:val="none" w:sz="0" w:space="0" w:color="auto"/>
        <w:bottom w:val="none" w:sz="0" w:space="0" w:color="auto"/>
        <w:right w:val="none" w:sz="0" w:space="0" w:color="auto"/>
      </w:divBdr>
    </w:div>
    <w:div w:id="1187059205">
      <w:bodyDiv w:val="1"/>
      <w:marLeft w:val="0"/>
      <w:marRight w:val="0"/>
      <w:marTop w:val="0"/>
      <w:marBottom w:val="0"/>
      <w:divBdr>
        <w:top w:val="none" w:sz="0" w:space="0" w:color="auto"/>
        <w:left w:val="none" w:sz="0" w:space="0" w:color="auto"/>
        <w:bottom w:val="none" w:sz="0" w:space="0" w:color="auto"/>
        <w:right w:val="none" w:sz="0" w:space="0" w:color="auto"/>
      </w:divBdr>
    </w:div>
    <w:div w:id="1188717342">
      <w:bodyDiv w:val="1"/>
      <w:marLeft w:val="0"/>
      <w:marRight w:val="0"/>
      <w:marTop w:val="0"/>
      <w:marBottom w:val="0"/>
      <w:divBdr>
        <w:top w:val="none" w:sz="0" w:space="0" w:color="auto"/>
        <w:left w:val="none" w:sz="0" w:space="0" w:color="auto"/>
        <w:bottom w:val="none" w:sz="0" w:space="0" w:color="auto"/>
        <w:right w:val="none" w:sz="0" w:space="0" w:color="auto"/>
      </w:divBdr>
    </w:div>
    <w:div w:id="1196888692">
      <w:bodyDiv w:val="1"/>
      <w:marLeft w:val="0"/>
      <w:marRight w:val="0"/>
      <w:marTop w:val="0"/>
      <w:marBottom w:val="0"/>
      <w:divBdr>
        <w:top w:val="none" w:sz="0" w:space="0" w:color="auto"/>
        <w:left w:val="none" w:sz="0" w:space="0" w:color="auto"/>
        <w:bottom w:val="none" w:sz="0" w:space="0" w:color="auto"/>
        <w:right w:val="none" w:sz="0" w:space="0" w:color="auto"/>
      </w:divBdr>
    </w:div>
    <w:div w:id="1226257614">
      <w:bodyDiv w:val="1"/>
      <w:marLeft w:val="0"/>
      <w:marRight w:val="0"/>
      <w:marTop w:val="0"/>
      <w:marBottom w:val="0"/>
      <w:divBdr>
        <w:top w:val="none" w:sz="0" w:space="0" w:color="auto"/>
        <w:left w:val="none" w:sz="0" w:space="0" w:color="auto"/>
        <w:bottom w:val="none" w:sz="0" w:space="0" w:color="auto"/>
        <w:right w:val="none" w:sz="0" w:space="0" w:color="auto"/>
      </w:divBdr>
    </w:div>
    <w:div w:id="1251162365">
      <w:bodyDiv w:val="1"/>
      <w:marLeft w:val="0"/>
      <w:marRight w:val="0"/>
      <w:marTop w:val="0"/>
      <w:marBottom w:val="0"/>
      <w:divBdr>
        <w:top w:val="none" w:sz="0" w:space="0" w:color="auto"/>
        <w:left w:val="none" w:sz="0" w:space="0" w:color="auto"/>
        <w:bottom w:val="none" w:sz="0" w:space="0" w:color="auto"/>
        <w:right w:val="none" w:sz="0" w:space="0" w:color="auto"/>
      </w:divBdr>
    </w:div>
    <w:div w:id="125817248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7">
          <w:marLeft w:val="432"/>
          <w:marRight w:val="0"/>
          <w:marTop w:val="115"/>
          <w:marBottom w:val="0"/>
          <w:divBdr>
            <w:top w:val="none" w:sz="0" w:space="0" w:color="auto"/>
            <w:left w:val="none" w:sz="0" w:space="0" w:color="auto"/>
            <w:bottom w:val="none" w:sz="0" w:space="0" w:color="auto"/>
            <w:right w:val="none" w:sz="0" w:space="0" w:color="auto"/>
          </w:divBdr>
        </w:div>
        <w:div w:id="1060247674">
          <w:marLeft w:val="432"/>
          <w:marRight w:val="0"/>
          <w:marTop w:val="115"/>
          <w:marBottom w:val="0"/>
          <w:divBdr>
            <w:top w:val="none" w:sz="0" w:space="0" w:color="auto"/>
            <w:left w:val="none" w:sz="0" w:space="0" w:color="auto"/>
            <w:bottom w:val="none" w:sz="0" w:space="0" w:color="auto"/>
            <w:right w:val="none" w:sz="0" w:space="0" w:color="auto"/>
          </w:divBdr>
        </w:div>
        <w:div w:id="867182213">
          <w:marLeft w:val="432"/>
          <w:marRight w:val="0"/>
          <w:marTop w:val="115"/>
          <w:marBottom w:val="0"/>
          <w:divBdr>
            <w:top w:val="none" w:sz="0" w:space="0" w:color="auto"/>
            <w:left w:val="none" w:sz="0" w:space="0" w:color="auto"/>
            <w:bottom w:val="none" w:sz="0" w:space="0" w:color="auto"/>
            <w:right w:val="none" w:sz="0" w:space="0" w:color="auto"/>
          </w:divBdr>
        </w:div>
      </w:divsChild>
    </w:div>
    <w:div w:id="1304505262">
      <w:bodyDiv w:val="1"/>
      <w:marLeft w:val="0"/>
      <w:marRight w:val="0"/>
      <w:marTop w:val="0"/>
      <w:marBottom w:val="0"/>
      <w:divBdr>
        <w:top w:val="none" w:sz="0" w:space="0" w:color="auto"/>
        <w:left w:val="none" w:sz="0" w:space="0" w:color="auto"/>
        <w:bottom w:val="none" w:sz="0" w:space="0" w:color="auto"/>
        <w:right w:val="none" w:sz="0" w:space="0" w:color="auto"/>
      </w:divBdr>
    </w:div>
    <w:div w:id="1321616199">
      <w:bodyDiv w:val="1"/>
      <w:marLeft w:val="0"/>
      <w:marRight w:val="0"/>
      <w:marTop w:val="0"/>
      <w:marBottom w:val="0"/>
      <w:divBdr>
        <w:top w:val="none" w:sz="0" w:space="0" w:color="auto"/>
        <w:left w:val="none" w:sz="0" w:space="0" w:color="auto"/>
        <w:bottom w:val="none" w:sz="0" w:space="0" w:color="auto"/>
        <w:right w:val="none" w:sz="0" w:space="0" w:color="auto"/>
      </w:divBdr>
    </w:div>
    <w:div w:id="1354724761">
      <w:bodyDiv w:val="1"/>
      <w:marLeft w:val="0"/>
      <w:marRight w:val="0"/>
      <w:marTop w:val="0"/>
      <w:marBottom w:val="0"/>
      <w:divBdr>
        <w:top w:val="none" w:sz="0" w:space="0" w:color="auto"/>
        <w:left w:val="none" w:sz="0" w:space="0" w:color="auto"/>
        <w:bottom w:val="none" w:sz="0" w:space="0" w:color="auto"/>
        <w:right w:val="none" w:sz="0" w:space="0" w:color="auto"/>
      </w:divBdr>
    </w:div>
    <w:div w:id="1358699946">
      <w:bodyDiv w:val="1"/>
      <w:marLeft w:val="0"/>
      <w:marRight w:val="0"/>
      <w:marTop w:val="0"/>
      <w:marBottom w:val="0"/>
      <w:divBdr>
        <w:top w:val="none" w:sz="0" w:space="0" w:color="auto"/>
        <w:left w:val="none" w:sz="0" w:space="0" w:color="auto"/>
        <w:bottom w:val="none" w:sz="0" w:space="0" w:color="auto"/>
        <w:right w:val="none" w:sz="0" w:space="0" w:color="auto"/>
      </w:divBdr>
    </w:div>
    <w:div w:id="1359818710">
      <w:bodyDiv w:val="1"/>
      <w:marLeft w:val="0"/>
      <w:marRight w:val="0"/>
      <w:marTop w:val="0"/>
      <w:marBottom w:val="0"/>
      <w:divBdr>
        <w:top w:val="none" w:sz="0" w:space="0" w:color="auto"/>
        <w:left w:val="none" w:sz="0" w:space="0" w:color="auto"/>
        <w:bottom w:val="none" w:sz="0" w:space="0" w:color="auto"/>
        <w:right w:val="none" w:sz="0" w:space="0" w:color="auto"/>
      </w:divBdr>
    </w:div>
    <w:div w:id="1399670708">
      <w:bodyDiv w:val="1"/>
      <w:marLeft w:val="0"/>
      <w:marRight w:val="0"/>
      <w:marTop w:val="0"/>
      <w:marBottom w:val="0"/>
      <w:divBdr>
        <w:top w:val="none" w:sz="0" w:space="0" w:color="auto"/>
        <w:left w:val="none" w:sz="0" w:space="0" w:color="auto"/>
        <w:bottom w:val="none" w:sz="0" w:space="0" w:color="auto"/>
        <w:right w:val="none" w:sz="0" w:space="0" w:color="auto"/>
      </w:divBdr>
    </w:div>
    <w:div w:id="1408116565">
      <w:bodyDiv w:val="1"/>
      <w:marLeft w:val="0"/>
      <w:marRight w:val="0"/>
      <w:marTop w:val="0"/>
      <w:marBottom w:val="0"/>
      <w:divBdr>
        <w:top w:val="none" w:sz="0" w:space="0" w:color="auto"/>
        <w:left w:val="none" w:sz="0" w:space="0" w:color="auto"/>
        <w:bottom w:val="none" w:sz="0" w:space="0" w:color="auto"/>
        <w:right w:val="none" w:sz="0" w:space="0" w:color="auto"/>
      </w:divBdr>
    </w:div>
    <w:div w:id="1415317634">
      <w:bodyDiv w:val="1"/>
      <w:marLeft w:val="0"/>
      <w:marRight w:val="0"/>
      <w:marTop w:val="0"/>
      <w:marBottom w:val="0"/>
      <w:divBdr>
        <w:top w:val="none" w:sz="0" w:space="0" w:color="auto"/>
        <w:left w:val="none" w:sz="0" w:space="0" w:color="auto"/>
        <w:bottom w:val="none" w:sz="0" w:space="0" w:color="auto"/>
        <w:right w:val="none" w:sz="0" w:space="0" w:color="auto"/>
      </w:divBdr>
    </w:div>
    <w:div w:id="1440875258">
      <w:bodyDiv w:val="1"/>
      <w:marLeft w:val="0"/>
      <w:marRight w:val="0"/>
      <w:marTop w:val="0"/>
      <w:marBottom w:val="0"/>
      <w:divBdr>
        <w:top w:val="none" w:sz="0" w:space="0" w:color="auto"/>
        <w:left w:val="none" w:sz="0" w:space="0" w:color="auto"/>
        <w:bottom w:val="none" w:sz="0" w:space="0" w:color="auto"/>
        <w:right w:val="none" w:sz="0" w:space="0" w:color="auto"/>
      </w:divBdr>
    </w:div>
    <w:div w:id="1445999796">
      <w:bodyDiv w:val="1"/>
      <w:marLeft w:val="0"/>
      <w:marRight w:val="0"/>
      <w:marTop w:val="0"/>
      <w:marBottom w:val="0"/>
      <w:divBdr>
        <w:top w:val="none" w:sz="0" w:space="0" w:color="auto"/>
        <w:left w:val="none" w:sz="0" w:space="0" w:color="auto"/>
        <w:bottom w:val="none" w:sz="0" w:space="0" w:color="auto"/>
        <w:right w:val="none" w:sz="0" w:space="0" w:color="auto"/>
      </w:divBdr>
    </w:div>
    <w:div w:id="1452356414">
      <w:bodyDiv w:val="1"/>
      <w:marLeft w:val="0"/>
      <w:marRight w:val="0"/>
      <w:marTop w:val="0"/>
      <w:marBottom w:val="0"/>
      <w:divBdr>
        <w:top w:val="none" w:sz="0" w:space="0" w:color="auto"/>
        <w:left w:val="none" w:sz="0" w:space="0" w:color="auto"/>
        <w:bottom w:val="none" w:sz="0" w:space="0" w:color="auto"/>
        <w:right w:val="none" w:sz="0" w:space="0" w:color="auto"/>
      </w:divBdr>
    </w:div>
    <w:div w:id="1464664079">
      <w:bodyDiv w:val="1"/>
      <w:marLeft w:val="0"/>
      <w:marRight w:val="0"/>
      <w:marTop w:val="0"/>
      <w:marBottom w:val="0"/>
      <w:divBdr>
        <w:top w:val="none" w:sz="0" w:space="0" w:color="auto"/>
        <w:left w:val="none" w:sz="0" w:space="0" w:color="auto"/>
        <w:bottom w:val="none" w:sz="0" w:space="0" w:color="auto"/>
        <w:right w:val="none" w:sz="0" w:space="0" w:color="auto"/>
      </w:divBdr>
    </w:div>
    <w:div w:id="1467776669">
      <w:bodyDiv w:val="1"/>
      <w:marLeft w:val="0"/>
      <w:marRight w:val="0"/>
      <w:marTop w:val="0"/>
      <w:marBottom w:val="0"/>
      <w:divBdr>
        <w:top w:val="none" w:sz="0" w:space="0" w:color="auto"/>
        <w:left w:val="none" w:sz="0" w:space="0" w:color="auto"/>
        <w:bottom w:val="none" w:sz="0" w:space="0" w:color="auto"/>
        <w:right w:val="none" w:sz="0" w:space="0" w:color="auto"/>
      </w:divBdr>
    </w:div>
    <w:div w:id="1481193254">
      <w:bodyDiv w:val="1"/>
      <w:marLeft w:val="0"/>
      <w:marRight w:val="0"/>
      <w:marTop w:val="0"/>
      <w:marBottom w:val="0"/>
      <w:divBdr>
        <w:top w:val="none" w:sz="0" w:space="0" w:color="auto"/>
        <w:left w:val="none" w:sz="0" w:space="0" w:color="auto"/>
        <w:bottom w:val="none" w:sz="0" w:space="0" w:color="auto"/>
        <w:right w:val="none" w:sz="0" w:space="0" w:color="auto"/>
      </w:divBdr>
      <w:divsChild>
        <w:div w:id="1954827469">
          <w:marLeft w:val="0"/>
          <w:marRight w:val="0"/>
          <w:marTop w:val="0"/>
          <w:marBottom w:val="0"/>
          <w:divBdr>
            <w:top w:val="none" w:sz="0" w:space="0" w:color="auto"/>
            <w:left w:val="none" w:sz="0" w:space="0" w:color="auto"/>
            <w:bottom w:val="none" w:sz="0" w:space="0" w:color="auto"/>
            <w:right w:val="none" w:sz="0" w:space="0" w:color="auto"/>
          </w:divBdr>
        </w:div>
        <w:div w:id="102310042">
          <w:marLeft w:val="0"/>
          <w:marRight w:val="0"/>
          <w:marTop w:val="0"/>
          <w:marBottom w:val="0"/>
          <w:divBdr>
            <w:top w:val="none" w:sz="0" w:space="0" w:color="auto"/>
            <w:left w:val="none" w:sz="0" w:space="0" w:color="auto"/>
            <w:bottom w:val="none" w:sz="0" w:space="0" w:color="auto"/>
            <w:right w:val="none" w:sz="0" w:space="0" w:color="auto"/>
          </w:divBdr>
        </w:div>
        <w:div w:id="1476532048">
          <w:marLeft w:val="0"/>
          <w:marRight w:val="0"/>
          <w:marTop w:val="0"/>
          <w:marBottom w:val="0"/>
          <w:divBdr>
            <w:top w:val="none" w:sz="0" w:space="0" w:color="auto"/>
            <w:left w:val="none" w:sz="0" w:space="0" w:color="auto"/>
            <w:bottom w:val="none" w:sz="0" w:space="0" w:color="auto"/>
            <w:right w:val="none" w:sz="0" w:space="0" w:color="auto"/>
          </w:divBdr>
        </w:div>
        <w:div w:id="1444151632">
          <w:marLeft w:val="0"/>
          <w:marRight w:val="0"/>
          <w:marTop w:val="0"/>
          <w:marBottom w:val="0"/>
          <w:divBdr>
            <w:top w:val="none" w:sz="0" w:space="0" w:color="auto"/>
            <w:left w:val="none" w:sz="0" w:space="0" w:color="auto"/>
            <w:bottom w:val="none" w:sz="0" w:space="0" w:color="auto"/>
            <w:right w:val="none" w:sz="0" w:space="0" w:color="auto"/>
          </w:divBdr>
        </w:div>
        <w:div w:id="1862888293">
          <w:marLeft w:val="0"/>
          <w:marRight w:val="0"/>
          <w:marTop w:val="0"/>
          <w:marBottom w:val="0"/>
          <w:divBdr>
            <w:top w:val="none" w:sz="0" w:space="0" w:color="auto"/>
            <w:left w:val="none" w:sz="0" w:space="0" w:color="auto"/>
            <w:bottom w:val="none" w:sz="0" w:space="0" w:color="auto"/>
            <w:right w:val="none" w:sz="0" w:space="0" w:color="auto"/>
          </w:divBdr>
        </w:div>
        <w:div w:id="571356063">
          <w:marLeft w:val="0"/>
          <w:marRight w:val="0"/>
          <w:marTop w:val="0"/>
          <w:marBottom w:val="0"/>
          <w:divBdr>
            <w:top w:val="none" w:sz="0" w:space="0" w:color="auto"/>
            <w:left w:val="none" w:sz="0" w:space="0" w:color="auto"/>
            <w:bottom w:val="none" w:sz="0" w:space="0" w:color="auto"/>
            <w:right w:val="none" w:sz="0" w:space="0" w:color="auto"/>
          </w:divBdr>
        </w:div>
        <w:div w:id="1701780571">
          <w:marLeft w:val="0"/>
          <w:marRight w:val="0"/>
          <w:marTop w:val="0"/>
          <w:marBottom w:val="0"/>
          <w:divBdr>
            <w:top w:val="none" w:sz="0" w:space="0" w:color="auto"/>
            <w:left w:val="none" w:sz="0" w:space="0" w:color="auto"/>
            <w:bottom w:val="none" w:sz="0" w:space="0" w:color="auto"/>
            <w:right w:val="none" w:sz="0" w:space="0" w:color="auto"/>
          </w:divBdr>
        </w:div>
        <w:div w:id="1630553559">
          <w:marLeft w:val="0"/>
          <w:marRight w:val="0"/>
          <w:marTop w:val="0"/>
          <w:marBottom w:val="0"/>
          <w:divBdr>
            <w:top w:val="none" w:sz="0" w:space="0" w:color="auto"/>
            <w:left w:val="none" w:sz="0" w:space="0" w:color="auto"/>
            <w:bottom w:val="none" w:sz="0" w:space="0" w:color="auto"/>
            <w:right w:val="none" w:sz="0" w:space="0" w:color="auto"/>
          </w:divBdr>
        </w:div>
        <w:div w:id="1645501873">
          <w:marLeft w:val="0"/>
          <w:marRight w:val="0"/>
          <w:marTop w:val="0"/>
          <w:marBottom w:val="0"/>
          <w:divBdr>
            <w:top w:val="none" w:sz="0" w:space="0" w:color="auto"/>
            <w:left w:val="none" w:sz="0" w:space="0" w:color="auto"/>
            <w:bottom w:val="none" w:sz="0" w:space="0" w:color="auto"/>
            <w:right w:val="none" w:sz="0" w:space="0" w:color="auto"/>
          </w:divBdr>
        </w:div>
        <w:div w:id="26685174">
          <w:marLeft w:val="0"/>
          <w:marRight w:val="0"/>
          <w:marTop w:val="0"/>
          <w:marBottom w:val="0"/>
          <w:divBdr>
            <w:top w:val="none" w:sz="0" w:space="0" w:color="auto"/>
            <w:left w:val="none" w:sz="0" w:space="0" w:color="auto"/>
            <w:bottom w:val="none" w:sz="0" w:space="0" w:color="auto"/>
            <w:right w:val="none" w:sz="0" w:space="0" w:color="auto"/>
          </w:divBdr>
        </w:div>
        <w:div w:id="810561715">
          <w:marLeft w:val="0"/>
          <w:marRight w:val="0"/>
          <w:marTop w:val="0"/>
          <w:marBottom w:val="0"/>
          <w:divBdr>
            <w:top w:val="none" w:sz="0" w:space="0" w:color="auto"/>
            <w:left w:val="none" w:sz="0" w:space="0" w:color="auto"/>
            <w:bottom w:val="none" w:sz="0" w:space="0" w:color="auto"/>
            <w:right w:val="none" w:sz="0" w:space="0" w:color="auto"/>
          </w:divBdr>
        </w:div>
      </w:divsChild>
    </w:div>
    <w:div w:id="1491288559">
      <w:bodyDiv w:val="1"/>
      <w:marLeft w:val="0"/>
      <w:marRight w:val="0"/>
      <w:marTop w:val="0"/>
      <w:marBottom w:val="0"/>
      <w:divBdr>
        <w:top w:val="none" w:sz="0" w:space="0" w:color="auto"/>
        <w:left w:val="none" w:sz="0" w:space="0" w:color="auto"/>
        <w:bottom w:val="none" w:sz="0" w:space="0" w:color="auto"/>
        <w:right w:val="none" w:sz="0" w:space="0" w:color="auto"/>
      </w:divBdr>
    </w:div>
    <w:div w:id="1501391076">
      <w:bodyDiv w:val="1"/>
      <w:marLeft w:val="0"/>
      <w:marRight w:val="0"/>
      <w:marTop w:val="0"/>
      <w:marBottom w:val="0"/>
      <w:divBdr>
        <w:top w:val="none" w:sz="0" w:space="0" w:color="auto"/>
        <w:left w:val="none" w:sz="0" w:space="0" w:color="auto"/>
        <w:bottom w:val="none" w:sz="0" w:space="0" w:color="auto"/>
        <w:right w:val="none" w:sz="0" w:space="0" w:color="auto"/>
      </w:divBdr>
    </w:div>
    <w:div w:id="1520512495">
      <w:bodyDiv w:val="1"/>
      <w:marLeft w:val="0"/>
      <w:marRight w:val="0"/>
      <w:marTop w:val="0"/>
      <w:marBottom w:val="0"/>
      <w:divBdr>
        <w:top w:val="none" w:sz="0" w:space="0" w:color="auto"/>
        <w:left w:val="none" w:sz="0" w:space="0" w:color="auto"/>
        <w:bottom w:val="none" w:sz="0" w:space="0" w:color="auto"/>
        <w:right w:val="none" w:sz="0" w:space="0" w:color="auto"/>
      </w:divBdr>
    </w:div>
    <w:div w:id="1543443089">
      <w:bodyDiv w:val="1"/>
      <w:marLeft w:val="0"/>
      <w:marRight w:val="0"/>
      <w:marTop w:val="0"/>
      <w:marBottom w:val="0"/>
      <w:divBdr>
        <w:top w:val="none" w:sz="0" w:space="0" w:color="auto"/>
        <w:left w:val="none" w:sz="0" w:space="0" w:color="auto"/>
        <w:bottom w:val="none" w:sz="0" w:space="0" w:color="auto"/>
        <w:right w:val="none" w:sz="0" w:space="0" w:color="auto"/>
      </w:divBdr>
      <w:divsChild>
        <w:div w:id="621158921">
          <w:marLeft w:val="0"/>
          <w:marRight w:val="0"/>
          <w:marTop w:val="750"/>
          <w:marBottom w:val="0"/>
          <w:divBdr>
            <w:top w:val="none" w:sz="0" w:space="0" w:color="auto"/>
            <w:left w:val="none" w:sz="0" w:space="0" w:color="auto"/>
            <w:bottom w:val="none" w:sz="0" w:space="0" w:color="auto"/>
            <w:right w:val="none" w:sz="0" w:space="0" w:color="auto"/>
          </w:divBdr>
        </w:div>
        <w:div w:id="915631744">
          <w:marLeft w:val="0"/>
          <w:marRight w:val="0"/>
          <w:marTop w:val="750"/>
          <w:marBottom w:val="0"/>
          <w:divBdr>
            <w:top w:val="none" w:sz="0" w:space="0" w:color="auto"/>
            <w:left w:val="none" w:sz="0" w:space="0" w:color="auto"/>
            <w:bottom w:val="none" w:sz="0" w:space="0" w:color="auto"/>
            <w:right w:val="none" w:sz="0" w:space="0" w:color="auto"/>
          </w:divBdr>
        </w:div>
      </w:divsChild>
    </w:div>
    <w:div w:id="1549220928">
      <w:bodyDiv w:val="1"/>
      <w:marLeft w:val="0"/>
      <w:marRight w:val="0"/>
      <w:marTop w:val="0"/>
      <w:marBottom w:val="0"/>
      <w:divBdr>
        <w:top w:val="none" w:sz="0" w:space="0" w:color="auto"/>
        <w:left w:val="none" w:sz="0" w:space="0" w:color="auto"/>
        <w:bottom w:val="none" w:sz="0" w:space="0" w:color="auto"/>
        <w:right w:val="none" w:sz="0" w:space="0" w:color="auto"/>
      </w:divBdr>
    </w:div>
    <w:div w:id="1568419793">
      <w:bodyDiv w:val="1"/>
      <w:marLeft w:val="0"/>
      <w:marRight w:val="0"/>
      <w:marTop w:val="0"/>
      <w:marBottom w:val="0"/>
      <w:divBdr>
        <w:top w:val="none" w:sz="0" w:space="0" w:color="auto"/>
        <w:left w:val="none" w:sz="0" w:space="0" w:color="auto"/>
        <w:bottom w:val="none" w:sz="0" w:space="0" w:color="auto"/>
        <w:right w:val="none" w:sz="0" w:space="0" w:color="auto"/>
      </w:divBdr>
    </w:div>
    <w:div w:id="1578586216">
      <w:bodyDiv w:val="1"/>
      <w:marLeft w:val="0"/>
      <w:marRight w:val="0"/>
      <w:marTop w:val="0"/>
      <w:marBottom w:val="0"/>
      <w:divBdr>
        <w:top w:val="none" w:sz="0" w:space="0" w:color="auto"/>
        <w:left w:val="none" w:sz="0" w:space="0" w:color="auto"/>
        <w:bottom w:val="none" w:sz="0" w:space="0" w:color="auto"/>
        <w:right w:val="none" w:sz="0" w:space="0" w:color="auto"/>
      </w:divBdr>
    </w:div>
    <w:div w:id="1682202835">
      <w:bodyDiv w:val="1"/>
      <w:marLeft w:val="0"/>
      <w:marRight w:val="0"/>
      <w:marTop w:val="0"/>
      <w:marBottom w:val="0"/>
      <w:divBdr>
        <w:top w:val="none" w:sz="0" w:space="0" w:color="auto"/>
        <w:left w:val="none" w:sz="0" w:space="0" w:color="auto"/>
        <w:bottom w:val="none" w:sz="0" w:space="0" w:color="auto"/>
        <w:right w:val="none" w:sz="0" w:space="0" w:color="auto"/>
      </w:divBdr>
    </w:div>
    <w:div w:id="1715156861">
      <w:bodyDiv w:val="1"/>
      <w:marLeft w:val="0"/>
      <w:marRight w:val="0"/>
      <w:marTop w:val="0"/>
      <w:marBottom w:val="0"/>
      <w:divBdr>
        <w:top w:val="none" w:sz="0" w:space="0" w:color="auto"/>
        <w:left w:val="none" w:sz="0" w:space="0" w:color="auto"/>
        <w:bottom w:val="none" w:sz="0" w:space="0" w:color="auto"/>
        <w:right w:val="none" w:sz="0" w:space="0" w:color="auto"/>
      </w:divBdr>
    </w:div>
    <w:div w:id="1740636421">
      <w:bodyDiv w:val="1"/>
      <w:marLeft w:val="0"/>
      <w:marRight w:val="0"/>
      <w:marTop w:val="0"/>
      <w:marBottom w:val="0"/>
      <w:divBdr>
        <w:top w:val="none" w:sz="0" w:space="0" w:color="auto"/>
        <w:left w:val="none" w:sz="0" w:space="0" w:color="auto"/>
        <w:bottom w:val="none" w:sz="0" w:space="0" w:color="auto"/>
        <w:right w:val="none" w:sz="0" w:space="0" w:color="auto"/>
      </w:divBdr>
    </w:div>
    <w:div w:id="1744571057">
      <w:bodyDiv w:val="1"/>
      <w:marLeft w:val="0"/>
      <w:marRight w:val="0"/>
      <w:marTop w:val="0"/>
      <w:marBottom w:val="0"/>
      <w:divBdr>
        <w:top w:val="none" w:sz="0" w:space="0" w:color="auto"/>
        <w:left w:val="none" w:sz="0" w:space="0" w:color="auto"/>
        <w:bottom w:val="none" w:sz="0" w:space="0" w:color="auto"/>
        <w:right w:val="none" w:sz="0" w:space="0" w:color="auto"/>
      </w:divBdr>
    </w:div>
    <w:div w:id="1773476108">
      <w:bodyDiv w:val="1"/>
      <w:marLeft w:val="0"/>
      <w:marRight w:val="0"/>
      <w:marTop w:val="0"/>
      <w:marBottom w:val="0"/>
      <w:divBdr>
        <w:top w:val="none" w:sz="0" w:space="0" w:color="auto"/>
        <w:left w:val="none" w:sz="0" w:space="0" w:color="auto"/>
        <w:bottom w:val="none" w:sz="0" w:space="0" w:color="auto"/>
        <w:right w:val="none" w:sz="0" w:space="0" w:color="auto"/>
      </w:divBdr>
    </w:div>
    <w:div w:id="1821381006">
      <w:bodyDiv w:val="1"/>
      <w:marLeft w:val="0"/>
      <w:marRight w:val="0"/>
      <w:marTop w:val="0"/>
      <w:marBottom w:val="0"/>
      <w:divBdr>
        <w:top w:val="none" w:sz="0" w:space="0" w:color="auto"/>
        <w:left w:val="none" w:sz="0" w:space="0" w:color="auto"/>
        <w:bottom w:val="none" w:sz="0" w:space="0" w:color="auto"/>
        <w:right w:val="none" w:sz="0" w:space="0" w:color="auto"/>
      </w:divBdr>
    </w:div>
    <w:div w:id="1914777644">
      <w:bodyDiv w:val="1"/>
      <w:marLeft w:val="0"/>
      <w:marRight w:val="0"/>
      <w:marTop w:val="0"/>
      <w:marBottom w:val="0"/>
      <w:divBdr>
        <w:top w:val="none" w:sz="0" w:space="0" w:color="auto"/>
        <w:left w:val="none" w:sz="0" w:space="0" w:color="auto"/>
        <w:bottom w:val="none" w:sz="0" w:space="0" w:color="auto"/>
        <w:right w:val="none" w:sz="0" w:space="0" w:color="auto"/>
      </w:divBdr>
    </w:div>
    <w:div w:id="1987121918">
      <w:bodyDiv w:val="1"/>
      <w:marLeft w:val="0"/>
      <w:marRight w:val="0"/>
      <w:marTop w:val="0"/>
      <w:marBottom w:val="0"/>
      <w:divBdr>
        <w:top w:val="none" w:sz="0" w:space="0" w:color="auto"/>
        <w:left w:val="none" w:sz="0" w:space="0" w:color="auto"/>
        <w:bottom w:val="none" w:sz="0" w:space="0" w:color="auto"/>
        <w:right w:val="none" w:sz="0" w:space="0" w:color="auto"/>
      </w:divBdr>
    </w:div>
    <w:div w:id="214508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miamioh.edu/ilr" TargetMode="External"/><Relationship Id="rId14" Type="http://schemas.openxmlformats.org/officeDocument/2006/relationships/hyperlink" Target="http://www.miamialum.org/s/916/images/editor_documents/AARN/AARN%20Handbook%202008.pdf" TargetMode="External"/><Relationship Id="rId15" Type="http://schemas.openxmlformats.org/officeDocument/2006/relationships/hyperlink" Target="http://www.MiamiOH.edu/UCM" TargetMode="External"/><Relationship Id="rId16" Type="http://schemas.openxmlformats.org/officeDocument/2006/relationships/hyperlink" Target="http://miamioh.edu/news/" TargetMode="External"/><Relationship Id="rId17" Type="http://schemas.openxmlformats.org/officeDocument/2006/relationships/hyperlink" Target="http://www.units.miamioh.edu/celt/engaged_learning/bicentennial" TargetMode="External"/><Relationship Id="rId18" Type="http://schemas.openxmlformats.org/officeDocument/2006/relationships/hyperlink" Target="http://www.units.miamioh.edu/celt/engaged_learning/top25/documents/NSSE%20Trend%20Data.pdf" TargetMode="External"/><Relationship Id="rId19" Type="http://schemas.openxmlformats.org/officeDocument/2006/relationships/hyperlink" Target="http://www.units.miamioh.edu/celt/engaged_learning/top25/documents/Top25ReportFall2013.pdf" TargetMode="External"/><Relationship Id="rId63" Type="http://schemas.openxmlformats.org/officeDocument/2006/relationships/hyperlink" Target="http://www.aacu.org/value/rubrics/LifelongLearning.cfm" TargetMode="External"/><Relationship Id="rId64" Type="http://schemas.openxmlformats.org/officeDocument/2006/relationships/hyperlink" Target="http://www.aacu.org/value/rubrics/globallearning.cfm" TargetMode="External"/><Relationship Id="rId65" Type="http://schemas.openxmlformats.org/officeDocument/2006/relationships/hyperlink" Target="http://www.aacu.org/value/rubrics/integrativelearning.cfm" TargetMode="External"/><Relationship Id="rId66" Type="http://schemas.openxmlformats.org/officeDocument/2006/relationships/hyperlink" Target="http://www.units.miamioh.edu/celt/assessment/Successstories/departments.php" TargetMode="External"/><Relationship Id="rId67" Type="http://schemas.openxmlformats.org/officeDocument/2006/relationships/hyperlink" Target="http://www.units.miamioh.edu/celt/engaged_learning/top25/assessment.php" TargetMode="External"/><Relationship Id="rId68" Type="http://schemas.openxmlformats.org/officeDocument/2006/relationships/hyperlink" Target="http://writingcenter.lib.muohio.edu/quicklinks-for-faculty-tas/college-of-arts-science-writing-requirement/" TargetMode="External"/><Relationship Id="rId69" Type="http://schemas.openxmlformats.org/officeDocument/2006/relationships/hyperlink" Target="http://writingcenter.lib.muohio.edu/writing-outcomes-and-assessment-plans-for-majors-in-the-college-of-arts-and-science/" TargetMode="External"/><Relationship Id="rId50" Type="http://schemas.openxmlformats.org/officeDocument/2006/relationships/hyperlink" Target="http://www.aacu.org/value/rubrics/WrittenCommunication.cfm" TargetMode="External"/><Relationship Id="rId51" Type="http://schemas.openxmlformats.org/officeDocument/2006/relationships/hyperlink" Target="http://www.aacu.org/value/rubrics/pdf/CriticalThinking.pdf" TargetMode="External"/><Relationship Id="rId52" Type="http://schemas.openxmlformats.org/officeDocument/2006/relationships/hyperlink" Target="http://www.aacu.org/value/rubrics/InquiryAnalysis.cfm" TargetMode="External"/><Relationship Id="rId53" Type="http://schemas.openxmlformats.org/officeDocument/2006/relationships/hyperlink" Target="http://www.aacu.org/value/rubrics/CreativeThinking.cfm" TargetMode="External"/><Relationship Id="rId54" Type="http://schemas.openxmlformats.org/officeDocument/2006/relationships/hyperlink" Target="http://www.aacu.org/value/rubrics/OralCommunication.cfm" TargetMode="External"/><Relationship Id="rId55" Type="http://schemas.openxmlformats.org/officeDocument/2006/relationships/hyperlink" Target="http://www.aacu.org/value/rubrics/Reading.cfm" TargetMode="External"/><Relationship Id="rId56" Type="http://schemas.openxmlformats.org/officeDocument/2006/relationships/hyperlink" Target="http://www.aacu.org/value/rubrics/QuantitativeLiteracy.cfm" TargetMode="External"/><Relationship Id="rId57" Type="http://schemas.openxmlformats.org/officeDocument/2006/relationships/hyperlink" Target="http://www.aacu.org/value/rubrics/InformationLiteracy.cfm" TargetMode="External"/><Relationship Id="rId58" Type="http://schemas.openxmlformats.org/officeDocument/2006/relationships/hyperlink" Target="http://www.aacu.org/value/rubrics/Teamwork.cfm" TargetMode="External"/><Relationship Id="rId59" Type="http://schemas.openxmlformats.org/officeDocument/2006/relationships/hyperlink" Target="http://www.aacu.org/value/rubrics/ProblemSolving.cfm" TargetMode="External"/><Relationship Id="rId40" Type="http://schemas.openxmlformats.org/officeDocument/2006/relationships/hyperlink" Target="http://pfd.miamioh.edu/projects/Housing_Master_Plan_2011.pdf" TargetMode="External"/><Relationship Id="rId41" Type="http://schemas.openxmlformats.org/officeDocument/2006/relationships/hyperlink" Target="http://www.units.miamioh.edu/celt/students/certificate.php" TargetMode="External"/><Relationship Id="rId42" Type="http://schemas.openxmlformats.org/officeDocument/2006/relationships/hyperlink" Target="http://www.units.miamioh.edu/celt/students/gstep/" TargetMode="External"/><Relationship Id="rId43" Type="http://schemas.openxmlformats.org/officeDocument/2006/relationships/hyperlink" Target="http://miamioh.edu/cca/academics/departments/theatre/current-students/show-auditions.html" TargetMode="External"/><Relationship Id="rId44" Type="http://schemas.openxmlformats.org/officeDocument/2006/relationships/hyperlink" Target="http://www.caate.net/" TargetMode="External"/><Relationship Id="rId45" Type="http://schemas.openxmlformats.org/officeDocument/2006/relationships/hyperlink" Target="http://www.eatright.org/BecomeanRDorDTR/content.aspx?id=8472" TargetMode="External"/><Relationship Id="rId46" Type="http://schemas.openxmlformats.org/officeDocument/2006/relationships/hyperlink" Target="http://www.naeyc.org/accreditation/" TargetMode="External"/><Relationship Id="rId47" Type="http://schemas.openxmlformats.org/officeDocument/2006/relationships/hyperlink" Target="http://www.cec.sped.org/Content/NavigationMenu/%20ProfessionalDevelopment/CareerCenter/AccreditationLicensure/" TargetMode="External"/><Relationship Id="rId48" Type="http://schemas.openxmlformats.org/officeDocument/2006/relationships/hyperlink" Target="http://www.nasponline.org/certification/index.aspx" TargetMode="External"/><Relationship Id="rId49" Type="http://schemas.openxmlformats.org/officeDocument/2006/relationships/hyperlink" Target="http://www.cswe.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miamioh.edu/about-miami/leadership/president/reports-speeches/annual-address/2013/index.htm" TargetMode="External"/><Relationship Id="rId30" Type="http://schemas.openxmlformats.org/officeDocument/2006/relationships/hyperlink" Target="http://miamioh.edu/cas/academics/departments/history/academics/majors/requirements/grading-criteria/index.html" TargetMode="External"/><Relationship Id="rId31" Type="http://schemas.openxmlformats.org/officeDocument/2006/relationships/hyperlink" Target="http://www.units.miamioh.edu/celt/resources/strategies.php" TargetMode="External"/><Relationship Id="rId32" Type="http://schemas.openxmlformats.org/officeDocument/2006/relationships/hyperlink" Target="http://miamioh.edu/student-life/new-student-programs/first-year-students/summer-orientation/index.html" TargetMode="External"/><Relationship Id="rId33" Type="http://schemas.openxmlformats.org/officeDocument/2006/relationships/hyperlink" Target="http://miamioh.edu/student-life/rinella-learning-center/" TargetMode="External"/><Relationship Id="rId34" Type="http://schemas.openxmlformats.org/officeDocument/2006/relationships/hyperlink" Target="http://www.cas.miamioh.edu/advising/universitystudies.html" TargetMode="External"/><Relationship Id="rId35" Type="http://schemas.openxmlformats.org/officeDocument/2006/relationships/hyperlink" Target="http://www.miamioh.edu/student-life/career-services/" TargetMode="External"/><Relationship Id="rId36" Type="http://schemas.openxmlformats.org/officeDocument/2006/relationships/hyperlink" Target="http://writingcenter.lib.muohio.edu/" TargetMode="External"/><Relationship Id="rId37" Type="http://schemas.openxmlformats.org/officeDocument/2006/relationships/hyperlink" Target="http://www.honors.muohio.edu/" TargetMode="External"/><Relationship Id="rId38" Type="http://schemas.openxmlformats.org/officeDocument/2006/relationships/hyperlink" Target="http://www.miamioh.edu/uasp" TargetMode="External"/><Relationship Id="rId39" Type="http://schemas.openxmlformats.org/officeDocument/2006/relationships/hyperlink" Target="http://www.pfd.muohio.edu/about_pfd/pdf/capitalImprovement07.pdf" TargetMode="External"/><Relationship Id="rId70" Type="http://schemas.openxmlformats.org/officeDocument/2006/relationships/hyperlink" Target="http://www.units.miamioh.edu/aihc/" TargetMode="External"/><Relationship Id="rId71" Type="http://schemas.openxmlformats.org/officeDocument/2006/relationships/hyperlink" Target="http://www.cas.miamioh.edu/advising/universitystudies.html" TargetMode="External"/><Relationship Id="rId72" Type="http://schemas.openxmlformats.org/officeDocument/2006/relationships/header" Target="header1.xml"/><Relationship Id="rId20" Type="http://schemas.openxmlformats.org/officeDocument/2006/relationships/hyperlink" Target="http://miamioh.edu/janus/" TargetMode="External"/><Relationship Id="rId21" Type="http://schemas.openxmlformats.org/officeDocument/2006/relationships/hyperlink" Target="https://www.miami.muohio.edu/liberal-ed/pros-new-parents/summer-reading-program.html" TargetMode="External"/><Relationship Id="rId22" Type="http://schemas.openxmlformats.org/officeDocument/2006/relationships/hyperlink" Target="http://writingcenter.lib.muohio.edu/publish-your-writing/" TargetMode="External"/><Relationship Id="rId23" Type="http://schemas.openxmlformats.org/officeDocument/2006/relationships/hyperlink" Target="http://www.units.miamioh.edu/compliance/irb/" TargetMode="External"/><Relationship Id="rId24" Type="http://schemas.openxmlformats.org/officeDocument/2006/relationships/hyperlink" Target="mailto:[https://ithelp.muohio.edu/selfservice/rassp/KPListing/view2.jsp?k2dockey=040972654004831@kpol17&amp;showbuttons=true&amp;dontlog=false%5d" TargetMode="External"/><Relationship Id="rId25" Type="http://schemas.openxmlformats.org/officeDocument/2006/relationships/hyperlink" Target="http://me.lib.miamioh.edu" TargetMode="External"/><Relationship Id="rId26" Type="http://schemas.openxmlformats.org/officeDocument/2006/relationships/hyperlink" Target="http://regents.ohio.gov/transfer/otm/" TargetMode="External"/><Relationship Id="rId27" Type="http://schemas.openxmlformats.org/officeDocument/2006/relationships/hyperlink" Target="http://www.miamioh.edu/2020plan/" TargetMode="External"/><Relationship Id="rId28" Type="http://schemas.openxmlformats.org/officeDocument/2006/relationships/hyperlink" Target="http://www.units.miamioh.edu/oir/Fact_Sheets/index.htm" TargetMode="External"/><Relationship Id="rId29" Type="http://schemas.openxmlformats.org/officeDocument/2006/relationships/hyperlink" Target="http://miamioh.edu/cas/academics/departments/gramelac/about/grading-policy/index.html" TargetMode="Externa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hyperlink" Target="http://www.aacu.org/value/rubrics/civicengagement.cfm" TargetMode="External"/><Relationship Id="rId61" Type="http://schemas.openxmlformats.org/officeDocument/2006/relationships/hyperlink" Target="http://www.aacu.org/value/rubrics/InterculturalKnowledge.cfm" TargetMode="External"/><Relationship Id="rId62" Type="http://schemas.openxmlformats.org/officeDocument/2006/relationships/hyperlink" Target="http://www.aacu.org/value/rubrics/ethicalreasoning.cfm" TargetMode="External"/><Relationship Id="rId10" Type="http://schemas.openxmlformats.org/officeDocument/2006/relationships/hyperlink" Target="http://www.miamioh.edu/campus-safety/sexual-assault/task-force/index.html" TargetMode="External"/><Relationship Id="rId11" Type="http://schemas.openxmlformats.org/officeDocument/2006/relationships/hyperlink" Target="http://www.miamioh.edu/academics/intl-student-resources/american-english/" TargetMode="External"/><Relationship Id="rId12" Type="http://schemas.openxmlformats.org/officeDocument/2006/relationships/hyperlink" Target="https://www.miami.miamioh.edu/about-miami/diversity/faculty-staff-connection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4B47B-0559-8042-A898-9B266E1C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40893</Words>
  <Characters>233094</Characters>
  <Application>Microsoft Macintosh Word</Application>
  <DocSecurity>0</DocSecurity>
  <Lines>1942</Lines>
  <Paragraphs>546</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273441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Carolyn A. Dr.</dc:creator>
  <cp:lastModifiedBy>Shelli Minton</cp:lastModifiedBy>
  <cp:revision>2</cp:revision>
  <cp:lastPrinted>2014-08-05T17:22:00Z</cp:lastPrinted>
  <dcterms:created xsi:type="dcterms:W3CDTF">2014-09-30T13:48:00Z</dcterms:created>
  <dcterms:modified xsi:type="dcterms:W3CDTF">2014-09-30T13:48:00Z</dcterms:modified>
</cp:coreProperties>
</file>